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EA7860" w14:textId="77777777" w:rsidR="009D63C8" w:rsidRPr="001B1027" w:rsidRDefault="009D63C8">
      <w:pPr>
        <w:tabs>
          <w:tab w:val="left" w:pos="6660"/>
        </w:tabs>
        <w:spacing w:line="360" w:lineRule="auto"/>
        <w:jc w:val="center"/>
        <w:rPr>
          <w:bCs/>
          <w:sz w:val="44"/>
        </w:rPr>
      </w:pPr>
    </w:p>
    <w:p w14:paraId="7418D28A" w14:textId="77777777" w:rsidR="009D63C8" w:rsidRDefault="009713AD">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7751E5E6" w14:textId="77777777" w:rsidR="00BB778B" w:rsidRPr="001B1027" w:rsidRDefault="009713AD">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1BEDACCE" w14:textId="77777777" w:rsidR="00BB778B" w:rsidRDefault="009713AD">
      <w:pPr>
        <w:jc w:val="center"/>
        <w:rPr>
          <w:b/>
          <w:sz w:val="52"/>
        </w:rPr>
      </w:pPr>
      <w:r>
        <w:rPr>
          <w:b/>
          <w:noProof/>
          <w:sz w:val="52"/>
        </w:rPr>
        <w:t>汇添富基金管理股份有限公司</w:t>
      </w:r>
    </w:p>
    <w:p w14:paraId="080B253E" w14:textId="77777777" w:rsidR="00BB778B" w:rsidRPr="001B1027" w:rsidRDefault="00BB778B">
      <w:pPr>
        <w:jc w:val="center"/>
        <w:rPr>
          <w:b/>
          <w:sz w:val="52"/>
        </w:rPr>
      </w:pPr>
    </w:p>
    <w:p w14:paraId="2EA07D29" w14:textId="77777777" w:rsidR="009D63C8" w:rsidRPr="00CE017B" w:rsidRDefault="009D63C8">
      <w:pPr>
        <w:rPr>
          <w:b/>
        </w:rPr>
      </w:pPr>
    </w:p>
    <w:p w14:paraId="5DEE6C3A" w14:textId="77777777" w:rsidR="009D63C8" w:rsidRPr="00CE017B" w:rsidRDefault="009D63C8">
      <w:pPr>
        <w:jc w:val="center"/>
        <w:rPr>
          <w:b/>
          <w:sz w:val="52"/>
        </w:rPr>
      </w:pPr>
    </w:p>
    <w:p w14:paraId="1EBAE136" w14:textId="4FAED3AC" w:rsidR="009D63C8" w:rsidRPr="00D059D7" w:rsidRDefault="009713AD">
      <w:pPr>
        <w:jc w:val="center"/>
        <w:rPr>
          <w:b/>
          <w:sz w:val="48"/>
        </w:rPr>
      </w:pPr>
      <w:bookmarkStart w:id="0" w:name="_Toc123112223"/>
      <w:bookmarkStart w:id="1" w:name="_Toc123112262"/>
      <w:bookmarkStart w:id="2" w:name="_Toc123701382"/>
      <w:bookmarkStart w:id="3" w:name="_Toc139991725"/>
      <w:bookmarkStart w:id="4" w:name="_Toc139992300"/>
      <w:r w:rsidRPr="00BB778B">
        <w:rPr>
          <w:rFonts w:ascii="宋体" w:hAnsi="宋体"/>
          <w:b/>
          <w:noProof/>
          <w:sz w:val="48"/>
        </w:rPr>
        <w:t>汇添富中证全指指数增强型证券投资基金</w:t>
      </w:r>
      <w:r w:rsidRPr="00BB778B">
        <w:rPr>
          <w:rFonts w:ascii="宋体" w:hAnsi="宋体" w:hint="eastAsia"/>
          <w:b/>
          <w:sz w:val="48"/>
        </w:rPr>
        <w:t>基金合同</w:t>
      </w:r>
      <w:bookmarkEnd w:id="0"/>
      <w:bookmarkEnd w:id="1"/>
      <w:bookmarkEnd w:id="2"/>
      <w:bookmarkEnd w:id="3"/>
      <w:bookmarkEnd w:id="4"/>
    </w:p>
    <w:p w14:paraId="025E9CED" w14:textId="77777777" w:rsidR="009D63C8" w:rsidRPr="00C92A27" w:rsidRDefault="009D63C8">
      <w:pPr>
        <w:jc w:val="center"/>
        <w:rPr>
          <w:b/>
          <w:sz w:val="52"/>
        </w:rPr>
      </w:pPr>
    </w:p>
    <w:p w14:paraId="02B6EE71" w14:textId="77777777" w:rsidR="006F0EAB" w:rsidRPr="00CE017B" w:rsidRDefault="006F0EAB">
      <w:pPr>
        <w:jc w:val="center"/>
        <w:rPr>
          <w:b/>
          <w:sz w:val="52"/>
        </w:rPr>
      </w:pPr>
    </w:p>
    <w:p w14:paraId="3EE61D53" w14:textId="77777777" w:rsidR="000A0044" w:rsidRPr="00CE017B" w:rsidRDefault="009713AD" w:rsidP="00BB778B">
      <w:pPr>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1CFFD370" w14:textId="77777777" w:rsidR="009D63C8" w:rsidRPr="00E8685D" w:rsidRDefault="009713AD">
      <w:pPr>
        <w:jc w:val="center"/>
        <w:rPr>
          <w:b/>
          <w:sz w:val="32"/>
        </w:rPr>
      </w:pPr>
      <w:bookmarkStart w:id="5" w:name="_Toc139992301"/>
      <w:bookmarkStart w:id="6" w:name="_Toc139991726"/>
      <w:bookmarkStart w:id="7" w:name="_Toc123701383"/>
      <w:bookmarkStart w:id="8" w:name="_Toc123112263"/>
      <w:bookmarkStart w:id="9" w:name="_Toc123112224"/>
      <w:r w:rsidRPr="00E8685D">
        <w:rPr>
          <w:rFonts w:hint="eastAsia"/>
          <w:b/>
          <w:sz w:val="32"/>
        </w:rPr>
        <w:t>基金管理人：</w:t>
      </w:r>
      <w:bookmarkEnd w:id="5"/>
      <w:bookmarkEnd w:id="6"/>
      <w:bookmarkEnd w:id="7"/>
      <w:bookmarkEnd w:id="8"/>
      <w:bookmarkEnd w:id="9"/>
      <w:r w:rsidR="00990F3B">
        <w:rPr>
          <w:b/>
          <w:noProof/>
          <w:sz w:val="32"/>
        </w:rPr>
        <w:t>汇添富基金管理股份有限公司</w:t>
      </w:r>
    </w:p>
    <w:p w14:paraId="1D5F3D2A" w14:textId="77777777" w:rsidR="009D63C8" w:rsidRPr="00E8685D" w:rsidRDefault="009713AD">
      <w:pPr>
        <w:jc w:val="center"/>
        <w:rPr>
          <w:b/>
          <w:sz w:val="32"/>
        </w:rPr>
      </w:pPr>
      <w:bookmarkStart w:id="10" w:name="_Toc123112225"/>
      <w:bookmarkStart w:id="11" w:name="_Toc123112264"/>
      <w:bookmarkStart w:id="12" w:name="_Toc123701384"/>
      <w:bookmarkStart w:id="13" w:name="_Toc139991727"/>
      <w:bookmarkStart w:id="14" w:name="_Toc139992302"/>
      <w:r w:rsidRPr="00E8685D">
        <w:rPr>
          <w:rFonts w:hint="eastAsia"/>
          <w:b/>
          <w:sz w:val="32"/>
        </w:rPr>
        <w:t>基金托管人：</w:t>
      </w:r>
      <w:bookmarkEnd w:id="10"/>
      <w:bookmarkEnd w:id="11"/>
      <w:bookmarkEnd w:id="12"/>
      <w:bookmarkEnd w:id="13"/>
      <w:bookmarkEnd w:id="14"/>
      <w:r w:rsidR="00990F3B">
        <w:rPr>
          <w:b/>
          <w:noProof/>
          <w:sz w:val="32"/>
        </w:rPr>
        <w:t>中国建设银行股份有限公司</w:t>
      </w:r>
    </w:p>
    <w:p w14:paraId="69BA470D" w14:textId="77777777" w:rsidR="00CC22D6" w:rsidRPr="00D059D7" w:rsidRDefault="00CC22D6">
      <w:pPr>
        <w:jc w:val="center"/>
        <w:rPr>
          <w:b/>
          <w:sz w:val="30"/>
        </w:rPr>
      </w:pPr>
      <w:bookmarkStart w:id="15" w:name="_Toc123112227"/>
      <w:bookmarkStart w:id="16" w:name="_Toc123112266"/>
      <w:bookmarkStart w:id="17" w:name="_Toc123701386"/>
      <w:bookmarkStart w:id="18" w:name="_Toc139991729"/>
    </w:p>
    <w:p w14:paraId="2A44B2EA" w14:textId="77777777" w:rsidR="006F0EAB" w:rsidRPr="00D059D7" w:rsidRDefault="006F0EAB">
      <w:pPr>
        <w:jc w:val="center"/>
        <w:rPr>
          <w:b/>
          <w:sz w:val="30"/>
        </w:rPr>
      </w:pPr>
    </w:p>
    <w:p w14:paraId="289071C8" w14:textId="77777777" w:rsidR="00CC22D6" w:rsidRDefault="00CC22D6">
      <w:pPr>
        <w:jc w:val="center"/>
        <w:rPr>
          <w:b/>
          <w:bCs/>
          <w:sz w:val="30"/>
        </w:rPr>
      </w:pPr>
    </w:p>
    <w:p w14:paraId="1F6B0B6D" w14:textId="77777777" w:rsidR="00EE4A7D" w:rsidRPr="00EE4A7D" w:rsidRDefault="00EE4A7D" w:rsidP="00AF30BD">
      <w:pPr>
        <w:jc w:val="center"/>
        <w:rPr>
          <w:rFonts w:ascii="宋体"/>
          <w:b/>
          <w:bCs/>
          <w:sz w:val="30"/>
        </w:rPr>
      </w:pPr>
    </w:p>
    <w:p w14:paraId="68A20CF1" w14:textId="77777777" w:rsidR="00B034AA" w:rsidRPr="00EB4987" w:rsidRDefault="00B034AA" w:rsidP="00AF30BD">
      <w:pPr>
        <w:jc w:val="center"/>
        <w:rPr>
          <w:rFonts w:ascii="宋体"/>
          <w:b/>
          <w:bCs/>
          <w:sz w:val="30"/>
        </w:rPr>
        <w:sectPr w:rsidR="00B034AA" w:rsidRPr="00EB4987" w:rsidSect="003D4BDD">
          <w:footerReference w:type="default" r:id="rId9"/>
          <w:pgSz w:w="11906" w:h="16838"/>
          <w:pgMar w:top="1440" w:right="1800" w:bottom="1440" w:left="1800" w:header="851" w:footer="992" w:gutter="0"/>
          <w:cols w:space="720"/>
          <w:docGrid w:type="lines" w:linePitch="312"/>
        </w:sectPr>
      </w:pPr>
      <w:bookmarkStart w:id="19" w:name="_Toc23386"/>
      <w:bookmarkStart w:id="20" w:name="_Toc141703880"/>
      <w:bookmarkStart w:id="21" w:name="_Toc139991730"/>
      <w:bookmarkStart w:id="22" w:name="_Toc4867"/>
      <w:bookmarkStart w:id="23" w:name="_Toc6306"/>
      <w:bookmarkStart w:id="24" w:name="_Toc8727"/>
      <w:bookmarkStart w:id="25" w:name="_Toc30935"/>
      <w:bookmarkStart w:id="26" w:name="_Toc32639"/>
      <w:bookmarkStart w:id="27" w:name="_Toc15517"/>
      <w:bookmarkStart w:id="28" w:name="_Toc29629"/>
      <w:bookmarkStart w:id="29" w:name="_Toc26897"/>
      <w:bookmarkStart w:id="30" w:name="_Toc4966"/>
      <w:bookmarkStart w:id="31" w:name="_Toc123701389"/>
      <w:bookmarkStart w:id="32" w:name="_Toc123112268"/>
      <w:bookmarkStart w:id="33" w:name="_Toc123112229"/>
      <w:bookmarkStart w:id="34" w:name="_Toc233456271"/>
      <w:bookmarkEnd w:id="15"/>
      <w:bookmarkEnd w:id="16"/>
      <w:bookmarkEnd w:id="17"/>
      <w:bookmarkEnd w:id="18"/>
    </w:p>
    <w:p w14:paraId="2BD76A2B" w14:textId="77777777" w:rsidR="00B034AA" w:rsidRPr="00085549" w:rsidRDefault="009713AD" w:rsidP="00085549">
      <w:pPr>
        <w:autoSpaceDE w:val="0"/>
        <w:autoSpaceDN w:val="0"/>
        <w:adjustRightInd w:val="0"/>
        <w:spacing w:line="360" w:lineRule="auto"/>
        <w:ind w:firstLineChars="200" w:firstLine="482"/>
        <w:jc w:val="center"/>
        <w:rPr>
          <w:rFonts w:ascii="宋体" w:hAnsi="宋体" w:cs="宋体"/>
          <w:b/>
          <w:noProof/>
          <w:sz w:val="24"/>
        </w:rPr>
      </w:pPr>
      <w:r w:rsidRPr="00657FE9">
        <w:rPr>
          <w:rStyle w:val="read"/>
          <w:rFonts w:ascii="宋体" w:hAnsi="宋体" w:cs="宋体"/>
          <w:b/>
          <w:sz w:val="24"/>
        </w:rPr>
        <w:lastRenderedPageBreak/>
        <w:t>目录</w:t>
      </w:r>
    </w:p>
    <w:p w14:paraId="0210CDB0" w14:textId="7308C27B" w:rsidR="000A052A" w:rsidRDefault="009713AD">
      <w:pPr>
        <w:pStyle w:val="11"/>
        <w:rPr>
          <w:rFonts w:asciiTheme="minorHAnsi" w:hAnsiTheme="minorHAnsi"/>
          <w:noProof/>
        </w:rPr>
      </w:pPr>
      <w:r w:rsidRPr="00657FE9">
        <w:rPr>
          <w:rStyle w:val="read"/>
          <w:rFonts w:ascii="宋体" w:hAnsi="宋体" w:cs="宋体"/>
          <w:b/>
          <w:sz w:val="24"/>
        </w:rPr>
        <w:fldChar w:fldCharType="begin"/>
      </w:r>
      <w:r w:rsidR="000028C2" w:rsidRPr="00657FE9">
        <w:rPr>
          <w:rStyle w:val="read"/>
          <w:rFonts w:ascii="宋体" w:hAnsi="宋体" w:cs="宋体"/>
          <w:b/>
          <w:sz w:val="24"/>
        </w:rPr>
        <w:instrText>TOC \o "1-1" \h \z \u</w:instrText>
      </w:r>
      <w:r w:rsidRPr="00657FE9">
        <w:rPr>
          <w:rStyle w:val="read"/>
          <w:rFonts w:ascii="宋体" w:hAnsi="宋体" w:cs="宋体"/>
          <w:b/>
          <w:sz w:val="24"/>
        </w:rPr>
        <w:fldChar w:fldCharType="separate"/>
      </w:r>
      <w:hyperlink w:anchor="_Toc256000000" w:history="1">
        <w:r w:rsidRPr="009E26D0">
          <w:rPr>
            <w:rStyle w:val="ac"/>
            <w:noProof/>
          </w:rPr>
          <w:t>第一部分</w:t>
        </w:r>
        <w:r w:rsidRPr="009E26D0">
          <w:rPr>
            <w:rStyle w:val="ac"/>
            <w:noProof/>
          </w:rPr>
          <w:t xml:space="preserve">  </w:t>
        </w:r>
        <w:r w:rsidRPr="009E26D0">
          <w:rPr>
            <w:rStyle w:val="ac"/>
            <w:noProof/>
          </w:rPr>
          <w:t>前言</w:t>
        </w:r>
        <w:r>
          <w:rPr>
            <w:noProof/>
          </w:rPr>
          <w:tab/>
        </w:r>
        <w:r>
          <w:rPr>
            <w:noProof/>
          </w:rPr>
          <w:fldChar w:fldCharType="begin"/>
        </w:r>
        <w:r>
          <w:rPr>
            <w:noProof/>
          </w:rPr>
          <w:instrText xml:space="preserve"> PAGEREF _Toc256000000 \h </w:instrText>
        </w:r>
        <w:r>
          <w:rPr>
            <w:noProof/>
          </w:rPr>
        </w:r>
        <w:r>
          <w:rPr>
            <w:noProof/>
          </w:rPr>
          <w:fldChar w:fldCharType="separate"/>
        </w:r>
        <w:r w:rsidR="00855765">
          <w:rPr>
            <w:noProof/>
          </w:rPr>
          <w:t>1</w:t>
        </w:r>
        <w:r>
          <w:rPr>
            <w:noProof/>
          </w:rPr>
          <w:fldChar w:fldCharType="end"/>
        </w:r>
      </w:hyperlink>
    </w:p>
    <w:p w14:paraId="59AF9926" w14:textId="50C477A6" w:rsidR="000A052A" w:rsidRDefault="006D0015">
      <w:pPr>
        <w:pStyle w:val="11"/>
        <w:rPr>
          <w:rFonts w:asciiTheme="minorHAnsi" w:hAnsiTheme="minorHAnsi"/>
          <w:noProof/>
        </w:rPr>
      </w:pPr>
      <w:hyperlink w:anchor="_Toc256000001" w:history="1">
        <w:r w:rsidR="009713AD" w:rsidRPr="009E26D0">
          <w:rPr>
            <w:rStyle w:val="ac"/>
            <w:noProof/>
          </w:rPr>
          <w:t>第二部分</w:t>
        </w:r>
        <w:r w:rsidR="009713AD" w:rsidRPr="009E26D0">
          <w:rPr>
            <w:rStyle w:val="ac"/>
            <w:noProof/>
          </w:rPr>
          <w:t xml:space="preserve">  </w:t>
        </w:r>
        <w:r w:rsidR="009713AD" w:rsidRPr="009E26D0">
          <w:rPr>
            <w:rStyle w:val="ac"/>
            <w:noProof/>
          </w:rPr>
          <w:t>释义</w:t>
        </w:r>
        <w:r w:rsidR="009713AD">
          <w:rPr>
            <w:noProof/>
          </w:rPr>
          <w:tab/>
        </w:r>
        <w:r w:rsidR="009713AD">
          <w:rPr>
            <w:noProof/>
          </w:rPr>
          <w:fldChar w:fldCharType="begin"/>
        </w:r>
        <w:r w:rsidR="009713AD">
          <w:rPr>
            <w:noProof/>
          </w:rPr>
          <w:instrText xml:space="preserve"> PAGEREF _Toc256000001 \h </w:instrText>
        </w:r>
        <w:r w:rsidR="009713AD">
          <w:rPr>
            <w:noProof/>
          </w:rPr>
        </w:r>
        <w:r w:rsidR="009713AD">
          <w:rPr>
            <w:noProof/>
          </w:rPr>
          <w:fldChar w:fldCharType="separate"/>
        </w:r>
        <w:r w:rsidR="00855765">
          <w:rPr>
            <w:noProof/>
          </w:rPr>
          <w:t>4</w:t>
        </w:r>
        <w:r w:rsidR="009713AD">
          <w:rPr>
            <w:noProof/>
          </w:rPr>
          <w:fldChar w:fldCharType="end"/>
        </w:r>
      </w:hyperlink>
    </w:p>
    <w:p w14:paraId="40933A32" w14:textId="1F419B58" w:rsidR="000A052A" w:rsidRDefault="006D0015">
      <w:pPr>
        <w:pStyle w:val="11"/>
        <w:rPr>
          <w:rFonts w:asciiTheme="minorHAnsi" w:hAnsiTheme="minorHAnsi"/>
          <w:noProof/>
        </w:rPr>
      </w:pPr>
      <w:hyperlink w:anchor="_Toc256000002" w:history="1">
        <w:r w:rsidR="009713AD" w:rsidRPr="009E26D0">
          <w:rPr>
            <w:rStyle w:val="ac"/>
            <w:noProof/>
          </w:rPr>
          <w:t>第三部分</w:t>
        </w:r>
        <w:r w:rsidR="009713AD" w:rsidRPr="009E26D0">
          <w:rPr>
            <w:rStyle w:val="ac"/>
            <w:noProof/>
          </w:rPr>
          <w:t xml:space="preserve">  </w:t>
        </w:r>
        <w:r w:rsidR="009713AD" w:rsidRPr="009E26D0">
          <w:rPr>
            <w:rStyle w:val="ac"/>
            <w:noProof/>
          </w:rPr>
          <w:t>基金的基本情况</w:t>
        </w:r>
        <w:r w:rsidR="009713AD">
          <w:rPr>
            <w:noProof/>
          </w:rPr>
          <w:tab/>
        </w:r>
        <w:r w:rsidR="009713AD">
          <w:rPr>
            <w:noProof/>
          </w:rPr>
          <w:fldChar w:fldCharType="begin"/>
        </w:r>
        <w:r w:rsidR="009713AD">
          <w:rPr>
            <w:noProof/>
          </w:rPr>
          <w:instrText xml:space="preserve"> PAGEREF _Toc256000002 \h </w:instrText>
        </w:r>
        <w:r w:rsidR="009713AD">
          <w:rPr>
            <w:noProof/>
          </w:rPr>
        </w:r>
        <w:r w:rsidR="009713AD">
          <w:rPr>
            <w:noProof/>
          </w:rPr>
          <w:fldChar w:fldCharType="separate"/>
        </w:r>
        <w:r w:rsidR="00855765">
          <w:rPr>
            <w:noProof/>
          </w:rPr>
          <w:t>10</w:t>
        </w:r>
        <w:r w:rsidR="009713AD">
          <w:rPr>
            <w:noProof/>
          </w:rPr>
          <w:fldChar w:fldCharType="end"/>
        </w:r>
      </w:hyperlink>
    </w:p>
    <w:p w14:paraId="6B2C7684" w14:textId="3C0BF661" w:rsidR="000A052A" w:rsidRDefault="006D0015">
      <w:pPr>
        <w:pStyle w:val="11"/>
        <w:rPr>
          <w:rFonts w:asciiTheme="minorHAnsi" w:hAnsiTheme="minorHAnsi"/>
          <w:noProof/>
        </w:rPr>
      </w:pPr>
      <w:hyperlink w:anchor="_Toc256000003" w:history="1">
        <w:r w:rsidR="009713AD" w:rsidRPr="009E26D0">
          <w:rPr>
            <w:rStyle w:val="ac"/>
            <w:noProof/>
          </w:rPr>
          <w:t>第四部分</w:t>
        </w:r>
        <w:r w:rsidR="009713AD" w:rsidRPr="009E26D0">
          <w:rPr>
            <w:rStyle w:val="ac"/>
            <w:noProof/>
          </w:rPr>
          <w:t xml:space="preserve">  </w:t>
        </w:r>
        <w:r w:rsidR="009713AD" w:rsidRPr="009E26D0">
          <w:rPr>
            <w:rStyle w:val="ac"/>
            <w:noProof/>
          </w:rPr>
          <w:t>基金份额的发售</w:t>
        </w:r>
        <w:r w:rsidR="009713AD">
          <w:rPr>
            <w:noProof/>
          </w:rPr>
          <w:tab/>
        </w:r>
        <w:r w:rsidR="009713AD">
          <w:rPr>
            <w:noProof/>
          </w:rPr>
          <w:fldChar w:fldCharType="begin"/>
        </w:r>
        <w:r w:rsidR="009713AD">
          <w:rPr>
            <w:noProof/>
          </w:rPr>
          <w:instrText xml:space="preserve"> PAGEREF _Toc256000003 \h </w:instrText>
        </w:r>
        <w:r w:rsidR="009713AD">
          <w:rPr>
            <w:noProof/>
          </w:rPr>
        </w:r>
        <w:r w:rsidR="009713AD">
          <w:rPr>
            <w:noProof/>
          </w:rPr>
          <w:fldChar w:fldCharType="separate"/>
        </w:r>
        <w:r w:rsidR="00855765">
          <w:rPr>
            <w:noProof/>
          </w:rPr>
          <w:t>12</w:t>
        </w:r>
        <w:r w:rsidR="009713AD">
          <w:rPr>
            <w:noProof/>
          </w:rPr>
          <w:fldChar w:fldCharType="end"/>
        </w:r>
      </w:hyperlink>
    </w:p>
    <w:p w14:paraId="23CB8471" w14:textId="576AA872" w:rsidR="000A052A" w:rsidRDefault="006D0015">
      <w:pPr>
        <w:pStyle w:val="11"/>
        <w:rPr>
          <w:rFonts w:asciiTheme="minorHAnsi" w:hAnsiTheme="minorHAnsi"/>
          <w:noProof/>
        </w:rPr>
      </w:pPr>
      <w:hyperlink w:anchor="_Toc256000004" w:history="1">
        <w:r w:rsidR="009713AD" w:rsidRPr="009E26D0">
          <w:rPr>
            <w:rStyle w:val="ac"/>
            <w:noProof/>
          </w:rPr>
          <w:t>第五部分</w:t>
        </w:r>
        <w:r w:rsidR="009713AD" w:rsidRPr="009E26D0">
          <w:rPr>
            <w:rStyle w:val="ac"/>
            <w:noProof/>
          </w:rPr>
          <w:t xml:space="preserve">  </w:t>
        </w:r>
        <w:r w:rsidR="009713AD" w:rsidRPr="009E26D0">
          <w:rPr>
            <w:rStyle w:val="ac"/>
            <w:noProof/>
          </w:rPr>
          <w:t>基金备案</w:t>
        </w:r>
        <w:r w:rsidR="009713AD">
          <w:rPr>
            <w:noProof/>
          </w:rPr>
          <w:tab/>
        </w:r>
        <w:r w:rsidR="009713AD">
          <w:rPr>
            <w:noProof/>
          </w:rPr>
          <w:fldChar w:fldCharType="begin"/>
        </w:r>
        <w:r w:rsidR="009713AD">
          <w:rPr>
            <w:noProof/>
          </w:rPr>
          <w:instrText xml:space="preserve"> PAGEREF _Toc256000004 \h </w:instrText>
        </w:r>
        <w:r w:rsidR="009713AD">
          <w:rPr>
            <w:noProof/>
          </w:rPr>
        </w:r>
        <w:r w:rsidR="009713AD">
          <w:rPr>
            <w:noProof/>
          </w:rPr>
          <w:fldChar w:fldCharType="separate"/>
        </w:r>
        <w:r w:rsidR="00855765">
          <w:rPr>
            <w:noProof/>
          </w:rPr>
          <w:t>14</w:t>
        </w:r>
        <w:r w:rsidR="009713AD">
          <w:rPr>
            <w:noProof/>
          </w:rPr>
          <w:fldChar w:fldCharType="end"/>
        </w:r>
      </w:hyperlink>
    </w:p>
    <w:p w14:paraId="51A49879" w14:textId="6AC8D93E" w:rsidR="000A052A" w:rsidRDefault="006D0015">
      <w:pPr>
        <w:pStyle w:val="11"/>
        <w:rPr>
          <w:rFonts w:asciiTheme="minorHAnsi" w:hAnsiTheme="minorHAnsi"/>
          <w:noProof/>
        </w:rPr>
      </w:pPr>
      <w:hyperlink w:anchor="_Toc256000005" w:history="1">
        <w:r w:rsidR="009713AD" w:rsidRPr="009E26D0">
          <w:rPr>
            <w:rStyle w:val="ac"/>
            <w:noProof/>
          </w:rPr>
          <w:t>第六部分</w:t>
        </w:r>
        <w:r w:rsidR="009713AD" w:rsidRPr="009E26D0">
          <w:rPr>
            <w:rStyle w:val="ac"/>
            <w:noProof/>
          </w:rPr>
          <w:t xml:space="preserve">  </w:t>
        </w:r>
        <w:r w:rsidR="009713AD" w:rsidRPr="009E26D0">
          <w:rPr>
            <w:rStyle w:val="ac"/>
            <w:noProof/>
          </w:rPr>
          <w:t>基金份额的申购与赎回</w:t>
        </w:r>
        <w:r w:rsidR="009713AD">
          <w:rPr>
            <w:noProof/>
          </w:rPr>
          <w:tab/>
        </w:r>
        <w:r w:rsidR="009713AD">
          <w:rPr>
            <w:noProof/>
          </w:rPr>
          <w:fldChar w:fldCharType="begin"/>
        </w:r>
        <w:r w:rsidR="009713AD">
          <w:rPr>
            <w:noProof/>
          </w:rPr>
          <w:instrText xml:space="preserve"> PAGEREF _Toc256000005 \h </w:instrText>
        </w:r>
        <w:r w:rsidR="009713AD">
          <w:rPr>
            <w:noProof/>
          </w:rPr>
        </w:r>
        <w:r w:rsidR="009713AD">
          <w:rPr>
            <w:noProof/>
          </w:rPr>
          <w:fldChar w:fldCharType="separate"/>
        </w:r>
        <w:r w:rsidR="00855765">
          <w:rPr>
            <w:noProof/>
          </w:rPr>
          <w:t>15</w:t>
        </w:r>
        <w:r w:rsidR="009713AD">
          <w:rPr>
            <w:noProof/>
          </w:rPr>
          <w:fldChar w:fldCharType="end"/>
        </w:r>
      </w:hyperlink>
    </w:p>
    <w:p w14:paraId="327A475A" w14:textId="0060DD5F" w:rsidR="000A052A" w:rsidRDefault="006D0015">
      <w:pPr>
        <w:pStyle w:val="11"/>
        <w:rPr>
          <w:rFonts w:asciiTheme="minorHAnsi" w:hAnsiTheme="minorHAnsi"/>
          <w:noProof/>
        </w:rPr>
      </w:pPr>
      <w:hyperlink w:anchor="_Toc256000006" w:history="1">
        <w:r w:rsidR="009713AD" w:rsidRPr="009E26D0">
          <w:rPr>
            <w:rStyle w:val="ac"/>
            <w:noProof/>
          </w:rPr>
          <w:t>第七部分</w:t>
        </w:r>
        <w:r w:rsidR="009713AD" w:rsidRPr="009E26D0">
          <w:rPr>
            <w:rStyle w:val="ac"/>
            <w:noProof/>
          </w:rPr>
          <w:t xml:space="preserve">  </w:t>
        </w:r>
        <w:r w:rsidR="009713AD" w:rsidRPr="009E26D0">
          <w:rPr>
            <w:rStyle w:val="ac"/>
            <w:noProof/>
          </w:rPr>
          <w:t>基金合同</w:t>
        </w:r>
        <w:bookmarkStart w:id="35" w:name="_GoBack"/>
        <w:bookmarkEnd w:id="35"/>
        <w:r w:rsidR="009713AD" w:rsidRPr="009E26D0">
          <w:rPr>
            <w:rStyle w:val="ac"/>
            <w:noProof/>
          </w:rPr>
          <w:t>当事人及权利义务</w:t>
        </w:r>
        <w:r w:rsidR="009713AD">
          <w:rPr>
            <w:noProof/>
          </w:rPr>
          <w:tab/>
        </w:r>
        <w:r w:rsidR="009713AD">
          <w:rPr>
            <w:noProof/>
          </w:rPr>
          <w:fldChar w:fldCharType="begin"/>
        </w:r>
        <w:r w:rsidR="009713AD">
          <w:rPr>
            <w:noProof/>
          </w:rPr>
          <w:instrText xml:space="preserve"> PAGEREF _Toc256000006 \h </w:instrText>
        </w:r>
        <w:r w:rsidR="009713AD">
          <w:rPr>
            <w:noProof/>
          </w:rPr>
        </w:r>
        <w:r w:rsidR="009713AD">
          <w:rPr>
            <w:noProof/>
          </w:rPr>
          <w:fldChar w:fldCharType="separate"/>
        </w:r>
        <w:r w:rsidR="00855765">
          <w:rPr>
            <w:noProof/>
          </w:rPr>
          <w:t>25</w:t>
        </w:r>
        <w:r w:rsidR="009713AD">
          <w:rPr>
            <w:noProof/>
          </w:rPr>
          <w:fldChar w:fldCharType="end"/>
        </w:r>
      </w:hyperlink>
    </w:p>
    <w:p w14:paraId="18102908" w14:textId="0860A9DA" w:rsidR="000A052A" w:rsidRDefault="006D0015">
      <w:pPr>
        <w:pStyle w:val="11"/>
        <w:rPr>
          <w:rFonts w:asciiTheme="minorHAnsi" w:hAnsiTheme="minorHAnsi"/>
          <w:noProof/>
        </w:rPr>
      </w:pPr>
      <w:hyperlink w:anchor="_Toc256000007" w:history="1">
        <w:r w:rsidR="009713AD" w:rsidRPr="009E26D0">
          <w:rPr>
            <w:rStyle w:val="ac"/>
            <w:noProof/>
          </w:rPr>
          <w:t>第八部分</w:t>
        </w:r>
        <w:r w:rsidR="009713AD" w:rsidRPr="009E26D0">
          <w:rPr>
            <w:rStyle w:val="ac"/>
            <w:noProof/>
          </w:rPr>
          <w:t xml:space="preserve">  </w:t>
        </w:r>
        <w:r w:rsidR="009713AD" w:rsidRPr="009E26D0">
          <w:rPr>
            <w:rStyle w:val="ac"/>
            <w:noProof/>
          </w:rPr>
          <w:t>基金份额持有人大会</w:t>
        </w:r>
        <w:r w:rsidR="009713AD">
          <w:rPr>
            <w:noProof/>
          </w:rPr>
          <w:tab/>
        </w:r>
        <w:r w:rsidR="009713AD">
          <w:rPr>
            <w:noProof/>
          </w:rPr>
          <w:fldChar w:fldCharType="begin"/>
        </w:r>
        <w:r w:rsidR="009713AD">
          <w:rPr>
            <w:noProof/>
          </w:rPr>
          <w:instrText xml:space="preserve"> PAGEREF _Toc256000007 \h </w:instrText>
        </w:r>
        <w:r w:rsidR="009713AD">
          <w:rPr>
            <w:noProof/>
          </w:rPr>
        </w:r>
        <w:r w:rsidR="009713AD">
          <w:rPr>
            <w:noProof/>
          </w:rPr>
          <w:fldChar w:fldCharType="separate"/>
        </w:r>
        <w:r w:rsidR="00855765">
          <w:rPr>
            <w:noProof/>
          </w:rPr>
          <w:t>33</w:t>
        </w:r>
        <w:r w:rsidR="009713AD">
          <w:rPr>
            <w:noProof/>
          </w:rPr>
          <w:fldChar w:fldCharType="end"/>
        </w:r>
      </w:hyperlink>
    </w:p>
    <w:p w14:paraId="3F02C982" w14:textId="3E126FA3" w:rsidR="000A052A" w:rsidRDefault="006D0015">
      <w:pPr>
        <w:pStyle w:val="11"/>
        <w:rPr>
          <w:rFonts w:asciiTheme="minorHAnsi" w:hAnsiTheme="minorHAnsi"/>
          <w:noProof/>
        </w:rPr>
      </w:pPr>
      <w:hyperlink w:anchor="_Toc256000008" w:history="1">
        <w:r w:rsidR="009713AD" w:rsidRPr="009E26D0">
          <w:rPr>
            <w:rStyle w:val="ac"/>
            <w:noProof/>
          </w:rPr>
          <w:t>第九部分</w:t>
        </w:r>
        <w:r w:rsidR="009713AD" w:rsidRPr="009E26D0">
          <w:rPr>
            <w:rStyle w:val="ac"/>
            <w:noProof/>
          </w:rPr>
          <w:t xml:space="preserve">  </w:t>
        </w:r>
        <w:r w:rsidR="009713AD" w:rsidRPr="009E26D0">
          <w:rPr>
            <w:rStyle w:val="ac"/>
            <w:noProof/>
          </w:rPr>
          <w:t>基金管理人、基金托管人的更换条件和程序</w:t>
        </w:r>
        <w:r w:rsidR="009713AD">
          <w:rPr>
            <w:noProof/>
          </w:rPr>
          <w:tab/>
        </w:r>
        <w:r w:rsidR="009713AD">
          <w:rPr>
            <w:noProof/>
          </w:rPr>
          <w:fldChar w:fldCharType="begin"/>
        </w:r>
        <w:r w:rsidR="009713AD">
          <w:rPr>
            <w:noProof/>
          </w:rPr>
          <w:instrText xml:space="preserve"> PAGEREF _Toc256000008 \h </w:instrText>
        </w:r>
        <w:r w:rsidR="009713AD">
          <w:rPr>
            <w:noProof/>
          </w:rPr>
        </w:r>
        <w:r w:rsidR="009713AD">
          <w:rPr>
            <w:noProof/>
          </w:rPr>
          <w:fldChar w:fldCharType="separate"/>
        </w:r>
        <w:r w:rsidR="00855765">
          <w:rPr>
            <w:noProof/>
          </w:rPr>
          <w:t>42</w:t>
        </w:r>
        <w:r w:rsidR="009713AD">
          <w:rPr>
            <w:noProof/>
          </w:rPr>
          <w:fldChar w:fldCharType="end"/>
        </w:r>
      </w:hyperlink>
    </w:p>
    <w:p w14:paraId="68F96381" w14:textId="636A89DB" w:rsidR="000A052A" w:rsidRDefault="006D0015">
      <w:pPr>
        <w:pStyle w:val="11"/>
        <w:rPr>
          <w:rFonts w:asciiTheme="minorHAnsi" w:hAnsiTheme="minorHAnsi"/>
          <w:noProof/>
        </w:rPr>
      </w:pPr>
      <w:hyperlink w:anchor="_Toc256000009" w:history="1">
        <w:r w:rsidR="009713AD" w:rsidRPr="009E26D0">
          <w:rPr>
            <w:rStyle w:val="ac"/>
            <w:noProof/>
          </w:rPr>
          <w:t>第十部分</w:t>
        </w:r>
        <w:r w:rsidR="009713AD" w:rsidRPr="009E26D0">
          <w:rPr>
            <w:rStyle w:val="ac"/>
            <w:noProof/>
          </w:rPr>
          <w:t xml:space="preserve">  </w:t>
        </w:r>
        <w:r w:rsidR="009713AD" w:rsidRPr="009E26D0">
          <w:rPr>
            <w:rStyle w:val="ac"/>
            <w:noProof/>
          </w:rPr>
          <w:t>基金的托管</w:t>
        </w:r>
        <w:r w:rsidR="009713AD">
          <w:rPr>
            <w:noProof/>
          </w:rPr>
          <w:tab/>
        </w:r>
        <w:r w:rsidR="009713AD">
          <w:rPr>
            <w:noProof/>
          </w:rPr>
          <w:fldChar w:fldCharType="begin"/>
        </w:r>
        <w:r w:rsidR="009713AD">
          <w:rPr>
            <w:noProof/>
          </w:rPr>
          <w:instrText xml:space="preserve"> PAGEREF _Toc256000009 \h </w:instrText>
        </w:r>
        <w:r w:rsidR="009713AD">
          <w:rPr>
            <w:noProof/>
          </w:rPr>
        </w:r>
        <w:r w:rsidR="009713AD">
          <w:rPr>
            <w:noProof/>
          </w:rPr>
          <w:fldChar w:fldCharType="separate"/>
        </w:r>
        <w:r w:rsidR="00855765">
          <w:rPr>
            <w:noProof/>
          </w:rPr>
          <w:t>45</w:t>
        </w:r>
        <w:r w:rsidR="009713AD">
          <w:rPr>
            <w:noProof/>
          </w:rPr>
          <w:fldChar w:fldCharType="end"/>
        </w:r>
      </w:hyperlink>
    </w:p>
    <w:p w14:paraId="426B3F8E" w14:textId="2EA7AFD8" w:rsidR="000A052A" w:rsidRDefault="006D0015">
      <w:pPr>
        <w:pStyle w:val="11"/>
        <w:rPr>
          <w:rFonts w:asciiTheme="minorHAnsi" w:hAnsiTheme="minorHAnsi"/>
          <w:noProof/>
        </w:rPr>
      </w:pPr>
      <w:hyperlink w:anchor="_Toc256000010" w:history="1">
        <w:r w:rsidR="009713AD" w:rsidRPr="009E26D0">
          <w:rPr>
            <w:rStyle w:val="ac"/>
            <w:noProof/>
          </w:rPr>
          <w:t>第十一部分</w:t>
        </w:r>
        <w:r w:rsidR="009713AD" w:rsidRPr="009E26D0">
          <w:rPr>
            <w:rStyle w:val="ac"/>
            <w:noProof/>
          </w:rPr>
          <w:t xml:space="preserve">  </w:t>
        </w:r>
        <w:r w:rsidR="009713AD" w:rsidRPr="009E26D0">
          <w:rPr>
            <w:rStyle w:val="ac"/>
            <w:noProof/>
          </w:rPr>
          <w:t>基金份额的登记</w:t>
        </w:r>
        <w:r w:rsidR="009713AD">
          <w:rPr>
            <w:noProof/>
          </w:rPr>
          <w:tab/>
        </w:r>
        <w:r w:rsidR="009713AD">
          <w:rPr>
            <w:noProof/>
          </w:rPr>
          <w:fldChar w:fldCharType="begin"/>
        </w:r>
        <w:r w:rsidR="009713AD">
          <w:rPr>
            <w:noProof/>
          </w:rPr>
          <w:instrText xml:space="preserve"> PAGEREF _Toc256000010 \h </w:instrText>
        </w:r>
        <w:r w:rsidR="009713AD">
          <w:rPr>
            <w:noProof/>
          </w:rPr>
        </w:r>
        <w:r w:rsidR="009713AD">
          <w:rPr>
            <w:noProof/>
          </w:rPr>
          <w:fldChar w:fldCharType="separate"/>
        </w:r>
        <w:r w:rsidR="00855765">
          <w:rPr>
            <w:noProof/>
          </w:rPr>
          <w:t>46</w:t>
        </w:r>
        <w:r w:rsidR="009713AD">
          <w:rPr>
            <w:noProof/>
          </w:rPr>
          <w:fldChar w:fldCharType="end"/>
        </w:r>
      </w:hyperlink>
    </w:p>
    <w:p w14:paraId="2771EF72" w14:textId="0A9EBC4F" w:rsidR="000A052A" w:rsidRDefault="006D0015">
      <w:pPr>
        <w:pStyle w:val="11"/>
        <w:rPr>
          <w:rFonts w:asciiTheme="minorHAnsi" w:hAnsiTheme="minorHAnsi"/>
          <w:noProof/>
        </w:rPr>
      </w:pPr>
      <w:hyperlink w:anchor="_Toc256000011" w:history="1">
        <w:r w:rsidR="009713AD" w:rsidRPr="009E26D0">
          <w:rPr>
            <w:rStyle w:val="ac"/>
            <w:noProof/>
          </w:rPr>
          <w:t>第十二部分</w:t>
        </w:r>
        <w:r w:rsidR="009713AD" w:rsidRPr="009E26D0">
          <w:rPr>
            <w:rStyle w:val="ac"/>
            <w:noProof/>
          </w:rPr>
          <w:t xml:space="preserve">  </w:t>
        </w:r>
        <w:r w:rsidR="009713AD" w:rsidRPr="009E26D0">
          <w:rPr>
            <w:rStyle w:val="ac"/>
            <w:noProof/>
          </w:rPr>
          <w:t>基金的投资</w:t>
        </w:r>
        <w:r w:rsidR="009713AD">
          <w:rPr>
            <w:noProof/>
          </w:rPr>
          <w:tab/>
        </w:r>
        <w:r w:rsidR="009713AD">
          <w:rPr>
            <w:noProof/>
          </w:rPr>
          <w:fldChar w:fldCharType="begin"/>
        </w:r>
        <w:r w:rsidR="009713AD">
          <w:rPr>
            <w:noProof/>
          </w:rPr>
          <w:instrText xml:space="preserve"> PAGEREF _Toc256000011 \h </w:instrText>
        </w:r>
        <w:r w:rsidR="009713AD">
          <w:rPr>
            <w:noProof/>
          </w:rPr>
        </w:r>
        <w:r w:rsidR="009713AD">
          <w:rPr>
            <w:noProof/>
          </w:rPr>
          <w:fldChar w:fldCharType="separate"/>
        </w:r>
        <w:r w:rsidR="00855765">
          <w:rPr>
            <w:noProof/>
          </w:rPr>
          <w:t>48</w:t>
        </w:r>
        <w:r w:rsidR="009713AD">
          <w:rPr>
            <w:noProof/>
          </w:rPr>
          <w:fldChar w:fldCharType="end"/>
        </w:r>
      </w:hyperlink>
    </w:p>
    <w:p w14:paraId="58FBBF7B" w14:textId="0B7F72A4" w:rsidR="000A052A" w:rsidRDefault="006D0015">
      <w:pPr>
        <w:pStyle w:val="11"/>
        <w:rPr>
          <w:rFonts w:asciiTheme="minorHAnsi" w:hAnsiTheme="minorHAnsi"/>
          <w:noProof/>
        </w:rPr>
      </w:pPr>
      <w:hyperlink w:anchor="_Toc256000012" w:history="1">
        <w:r w:rsidR="009713AD" w:rsidRPr="009E26D0">
          <w:rPr>
            <w:rStyle w:val="ac"/>
            <w:noProof/>
          </w:rPr>
          <w:t>第十三部分</w:t>
        </w:r>
        <w:r w:rsidR="009713AD" w:rsidRPr="009E26D0">
          <w:rPr>
            <w:rStyle w:val="ac"/>
            <w:noProof/>
          </w:rPr>
          <w:t xml:space="preserve">  </w:t>
        </w:r>
        <w:r w:rsidR="009713AD" w:rsidRPr="009E26D0">
          <w:rPr>
            <w:rStyle w:val="ac"/>
            <w:noProof/>
          </w:rPr>
          <w:t>基金的财产</w:t>
        </w:r>
        <w:r w:rsidR="009713AD">
          <w:rPr>
            <w:noProof/>
          </w:rPr>
          <w:tab/>
        </w:r>
        <w:r w:rsidR="009713AD">
          <w:rPr>
            <w:noProof/>
          </w:rPr>
          <w:fldChar w:fldCharType="begin"/>
        </w:r>
        <w:r w:rsidR="009713AD">
          <w:rPr>
            <w:noProof/>
          </w:rPr>
          <w:instrText xml:space="preserve"> PAGEREF _Toc256000012 \h </w:instrText>
        </w:r>
        <w:r w:rsidR="009713AD">
          <w:rPr>
            <w:noProof/>
          </w:rPr>
        </w:r>
        <w:r w:rsidR="009713AD">
          <w:rPr>
            <w:noProof/>
          </w:rPr>
          <w:fldChar w:fldCharType="separate"/>
        </w:r>
        <w:r w:rsidR="00855765">
          <w:rPr>
            <w:noProof/>
          </w:rPr>
          <w:t>61</w:t>
        </w:r>
        <w:r w:rsidR="009713AD">
          <w:rPr>
            <w:noProof/>
          </w:rPr>
          <w:fldChar w:fldCharType="end"/>
        </w:r>
      </w:hyperlink>
    </w:p>
    <w:p w14:paraId="4CEDAE12" w14:textId="3774CAEE" w:rsidR="000A052A" w:rsidRDefault="006D0015">
      <w:pPr>
        <w:pStyle w:val="11"/>
        <w:rPr>
          <w:rFonts w:asciiTheme="minorHAnsi" w:hAnsiTheme="minorHAnsi"/>
          <w:noProof/>
        </w:rPr>
      </w:pPr>
      <w:hyperlink w:anchor="_Toc256000013" w:history="1">
        <w:r w:rsidR="009713AD" w:rsidRPr="009E26D0">
          <w:rPr>
            <w:rStyle w:val="ac"/>
            <w:noProof/>
          </w:rPr>
          <w:t>第十四部分</w:t>
        </w:r>
        <w:r w:rsidR="009713AD" w:rsidRPr="009E26D0">
          <w:rPr>
            <w:rStyle w:val="ac"/>
            <w:noProof/>
          </w:rPr>
          <w:t xml:space="preserve">  </w:t>
        </w:r>
        <w:r w:rsidR="009713AD" w:rsidRPr="009E26D0">
          <w:rPr>
            <w:rStyle w:val="ac"/>
            <w:noProof/>
          </w:rPr>
          <w:t>基金资产估值</w:t>
        </w:r>
        <w:r w:rsidR="009713AD">
          <w:rPr>
            <w:noProof/>
          </w:rPr>
          <w:tab/>
        </w:r>
        <w:r w:rsidR="009713AD">
          <w:rPr>
            <w:noProof/>
          </w:rPr>
          <w:fldChar w:fldCharType="begin"/>
        </w:r>
        <w:r w:rsidR="009713AD">
          <w:rPr>
            <w:noProof/>
          </w:rPr>
          <w:instrText xml:space="preserve"> PAGEREF _Toc256000013 \h </w:instrText>
        </w:r>
        <w:r w:rsidR="009713AD">
          <w:rPr>
            <w:noProof/>
          </w:rPr>
        </w:r>
        <w:r w:rsidR="009713AD">
          <w:rPr>
            <w:noProof/>
          </w:rPr>
          <w:fldChar w:fldCharType="separate"/>
        </w:r>
        <w:r w:rsidR="00855765">
          <w:rPr>
            <w:noProof/>
          </w:rPr>
          <w:t>62</w:t>
        </w:r>
        <w:r w:rsidR="009713AD">
          <w:rPr>
            <w:noProof/>
          </w:rPr>
          <w:fldChar w:fldCharType="end"/>
        </w:r>
      </w:hyperlink>
    </w:p>
    <w:p w14:paraId="553BC0F4" w14:textId="4D048F99" w:rsidR="000A052A" w:rsidRDefault="006D0015">
      <w:pPr>
        <w:pStyle w:val="11"/>
        <w:rPr>
          <w:rFonts w:asciiTheme="minorHAnsi" w:hAnsiTheme="minorHAnsi"/>
          <w:noProof/>
        </w:rPr>
      </w:pPr>
      <w:hyperlink w:anchor="_Toc256000014" w:history="1">
        <w:r w:rsidR="009713AD" w:rsidRPr="009E26D0">
          <w:rPr>
            <w:rStyle w:val="ac"/>
            <w:noProof/>
          </w:rPr>
          <w:t>第十五部分</w:t>
        </w:r>
        <w:r w:rsidR="009713AD" w:rsidRPr="009E26D0">
          <w:rPr>
            <w:rStyle w:val="ac"/>
            <w:noProof/>
          </w:rPr>
          <w:t xml:space="preserve">  </w:t>
        </w:r>
        <w:r w:rsidR="009713AD" w:rsidRPr="009E26D0">
          <w:rPr>
            <w:rStyle w:val="ac"/>
            <w:noProof/>
          </w:rPr>
          <w:t>基金费用与税收</w:t>
        </w:r>
        <w:r w:rsidR="009713AD">
          <w:rPr>
            <w:noProof/>
          </w:rPr>
          <w:tab/>
        </w:r>
        <w:r w:rsidR="009713AD">
          <w:rPr>
            <w:noProof/>
          </w:rPr>
          <w:fldChar w:fldCharType="begin"/>
        </w:r>
        <w:r w:rsidR="009713AD">
          <w:rPr>
            <w:noProof/>
          </w:rPr>
          <w:instrText xml:space="preserve"> PAGEREF _Toc256000014 \h </w:instrText>
        </w:r>
        <w:r w:rsidR="009713AD">
          <w:rPr>
            <w:noProof/>
          </w:rPr>
        </w:r>
        <w:r w:rsidR="009713AD">
          <w:rPr>
            <w:noProof/>
          </w:rPr>
          <w:fldChar w:fldCharType="separate"/>
        </w:r>
        <w:r w:rsidR="00855765">
          <w:rPr>
            <w:noProof/>
          </w:rPr>
          <w:t>69</w:t>
        </w:r>
        <w:r w:rsidR="009713AD">
          <w:rPr>
            <w:noProof/>
          </w:rPr>
          <w:fldChar w:fldCharType="end"/>
        </w:r>
      </w:hyperlink>
    </w:p>
    <w:p w14:paraId="7066375D" w14:textId="76493EF3" w:rsidR="000A052A" w:rsidRDefault="006D0015">
      <w:pPr>
        <w:pStyle w:val="11"/>
        <w:rPr>
          <w:rFonts w:asciiTheme="minorHAnsi" w:hAnsiTheme="minorHAnsi"/>
          <w:noProof/>
        </w:rPr>
      </w:pPr>
      <w:hyperlink w:anchor="_Toc256000015" w:history="1">
        <w:r w:rsidR="009713AD" w:rsidRPr="009E26D0">
          <w:rPr>
            <w:rStyle w:val="ac"/>
            <w:noProof/>
          </w:rPr>
          <w:t>第十六部分</w:t>
        </w:r>
        <w:r w:rsidR="009713AD" w:rsidRPr="009E26D0">
          <w:rPr>
            <w:rStyle w:val="ac"/>
            <w:noProof/>
          </w:rPr>
          <w:t xml:space="preserve">  </w:t>
        </w:r>
        <w:r w:rsidR="009713AD" w:rsidRPr="009E26D0">
          <w:rPr>
            <w:rStyle w:val="ac"/>
            <w:noProof/>
          </w:rPr>
          <w:t>基金的收益与分配</w:t>
        </w:r>
        <w:r w:rsidR="009713AD">
          <w:rPr>
            <w:noProof/>
          </w:rPr>
          <w:tab/>
        </w:r>
        <w:r w:rsidR="009713AD">
          <w:rPr>
            <w:noProof/>
          </w:rPr>
          <w:fldChar w:fldCharType="begin"/>
        </w:r>
        <w:r w:rsidR="009713AD">
          <w:rPr>
            <w:noProof/>
          </w:rPr>
          <w:instrText xml:space="preserve"> PAGEREF _Toc256000015 \h </w:instrText>
        </w:r>
        <w:r w:rsidR="009713AD">
          <w:rPr>
            <w:noProof/>
          </w:rPr>
        </w:r>
        <w:r w:rsidR="009713AD">
          <w:rPr>
            <w:noProof/>
          </w:rPr>
          <w:fldChar w:fldCharType="separate"/>
        </w:r>
        <w:r w:rsidR="00855765">
          <w:rPr>
            <w:noProof/>
          </w:rPr>
          <w:t>72</w:t>
        </w:r>
        <w:r w:rsidR="009713AD">
          <w:rPr>
            <w:noProof/>
          </w:rPr>
          <w:fldChar w:fldCharType="end"/>
        </w:r>
      </w:hyperlink>
    </w:p>
    <w:p w14:paraId="1C66EC1D" w14:textId="4402C39D" w:rsidR="000A052A" w:rsidRDefault="006D0015">
      <w:pPr>
        <w:pStyle w:val="11"/>
        <w:rPr>
          <w:rFonts w:asciiTheme="minorHAnsi" w:hAnsiTheme="minorHAnsi"/>
          <w:noProof/>
        </w:rPr>
      </w:pPr>
      <w:hyperlink w:anchor="_Toc256000016" w:history="1">
        <w:r w:rsidR="009713AD" w:rsidRPr="009E26D0">
          <w:rPr>
            <w:rStyle w:val="ac"/>
            <w:noProof/>
          </w:rPr>
          <w:t>第十七部分</w:t>
        </w:r>
        <w:r w:rsidR="009713AD" w:rsidRPr="009E26D0">
          <w:rPr>
            <w:rStyle w:val="ac"/>
            <w:noProof/>
          </w:rPr>
          <w:t xml:space="preserve">  </w:t>
        </w:r>
        <w:r w:rsidR="009713AD" w:rsidRPr="009E26D0">
          <w:rPr>
            <w:rStyle w:val="ac"/>
            <w:noProof/>
          </w:rPr>
          <w:t>基金的会计与审计</w:t>
        </w:r>
        <w:r w:rsidR="009713AD">
          <w:rPr>
            <w:noProof/>
          </w:rPr>
          <w:tab/>
        </w:r>
        <w:r w:rsidR="009713AD">
          <w:rPr>
            <w:noProof/>
          </w:rPr>
          <w:fldChar w:fldCharType="begin"/>
        </w:r>
        <w:r w:rsidR="009713AD">
          <w:rPr>
            <w:noProof/>
          </w:rPr>
          <w:instrText xml:space="preserve"> PAGEREF _Toc256000016 \h </w:instrText>
        </w:r>
        <w:r w:rsidR="009713AD">
          <w:rPr>
            <w:noProof/>
          </w:rPr>
        </w:r>
        <w:r w:rsidR="009713AD">
          <w:rPr>
            <w:noProof/>
          </w:rPr>
          <w:fldChar w:fldCharType="separate"/>
        </w:r>
        <w:r w:rsidR="00855765">
          <w:rPr>
            <w:noProof/>
          </w:rPr>
          <w:t>74</w:t>
        </w:r>
        <w:r w:rsidR="009713AD">
          <w:rPr>
            <w:noProof/>
          </w:rPr>
          <w:fldChar w:fldCharType="end"/>
        </w:r>
      </w:hyperlink>
    </w:p>
    <w:p w14:paraId="337CDBCB" w14:textId="0699ABA7" w:rsidR="000A052A" w:rsidRDefault="006D0015">
      <w:pPr>
        <w:pStyle w:val="11"/>
        <w:rPr>
          <w:rFonts w:asciiTheme="minorHAnsi" w:hAnsiTheme="minorHAnsi"/>
          <w:noProof/>
        </w:rPr>
      </w:pPr>
      <w:hyperlink w:anchor="_Toc256000017" w:history="1">
        <w:r w:rsidR="009713AD" w:rsidRPr="009E26D0">
          <w:rPr>
            <w:rStyle w:val="ac"/>
            <w:noProof/>
          </w:rPr>
          <w:t>第十八部分</w:t>
        </w:r>
        <w:r w:rsidR="009713AD" w:rsidRPr="009E26D0">
          <w:rPr>
            <w:rStyle w:val="ac"/>
            <w:noProof/>
          </w:rPr>
          <w:t xml:space="preserve">  </w:t>
        </w:r>
        <w:r w:rsidR="009713AD" w:rsidRPr="009E26D0">
          <w:rPr>
            <w:rStyle w:val="ac"/>
            <w:noProof/>
          </w:rPr>
          <w:t>基金的信息披露</w:t>
        </w:r>
        <w:r w:rsidR="009713AD">
          <w:rPr>
            <w:noProof/>
          </w:rPr>
          <w:tab/>
        </w:r>
        <w:r w:rsidR="009713AD">
          <w:rPr>
            <w:noProof/>
          </w:rPr>
          <w:fldChar w:fldCharType="begin"/>
        </w:r>
        <w:r w:rsidR="009713AD">
          <w:rPr>
            <w:noProof/>
          </w:rPr>
          <w:instrText xml:space="preserve"> PAGEREF _Toc256000017 \h </w:instrText>
        </w:r>
        <w:r w:rsidR="009713AD">
          <w:rPr>
            <w:noProof/>
          </w:rPr>
        </w:r>
        <w:r w:rsidR="009713AD">
          <w:rPr>
            <w:noProof/>
          </w:rPr>
          <w:fldChar w:fldCharType="separate"/>
        </w:r>
        <w:r w:rsidR="00855765">
          <w:rPr>
            <w:noProof/>
          </w:rPr>
          <w:t>75</w:t>
        </w:r>
        <w:r w:rsidR="009713AD">
          <w:rPr>
            <w:noProof/>
          </w:rPr>
          <w:fldChar w:fldCharType="end"/>
        </w:r>
      </w:hyperlink>
    </w:p>
    <w:p w14:paraId="5808CA9E" w14:textId="09B561BA" w:rsidR="000A052A" w:rsidRDefault="006D0015">
      <w:pPr>
        <w:pStyle w:val="11"/>
        <w:rPr>
          <w:rFonts w:asciiTheme="minorHAnsi" w:hAnsiTheme="minorHAnsi"/>
          <w:noProof/>
        </w:rPr>
      </w:pPr>
      <w:hyperlink w:anchor="_Toc256000018" w:history="1">
        <w:r w:rsidR="009713AD" w:rsidRPr="009E26D0">
          <w:rPr>
            <w:rStyle w:val="ac"/>
            <w:noProof/>
          </w:rPr>
          <w:t>第十九部分</w:t>
        </w:r>
        <w:r w:rsidR="009713AD" w:rsidRPr="009E26D0">
          <w:rPr>
            <w:rStyle w:val="ac"/>
            <w:noProof/>
          </w:rPr>
          <w:t xml:space="preserve">  </w:t>
        </w:r>
        <w:r w:rsidR="009713AD" w:rsidRPr="009E26D0">
          <w:rPr>
            <w:rStyle w:val="ac"/>
            <w:noProof/>
          </w:rPr>
          <w:t>基金合同的变更、终止与基金财产的清算</w:t>
        </w:r>
        <w:r w:rsidR="009713AD">
          <w:rPr>
            <w:noProof/>
          </w:rPr>
          <w:tab/>
        </w:r>
        <w:r w:rsidR="009713AD">
          <w:rPr>
            <w:noProof/>
          </w:rPr>
          <w:fldChar w:fldCharType="begin"/>
        </w:r>
        <w:r w:rsidR="009713AD">
          <w:rPr>
            <w:noProof/>
          </w:rPr>
          <w:instrText xml:space="preserve"> PAGEREF _Toc256000018 \h </w:instrText>
        </w:r>
        <w:r w:rsidR="009713AD">
          <w:rPr>
            <w:noProof/>
          </w:rPr>
        </w:r>
        <w:r w:rsidR="009713AD">
          <w:rPr>
            <w:noProof/>
          </w:rPr>
          <w:fldChar w:fldCharType="separate"/>
        </w:r>
        <w:r w:rsidR="00855765">
          <w:rPr>
            <w:noProof/>
          </w:rPr>
          <w:t>83</w:t>
        </w:r>
        <w:r w:rsidR="009713AD">
          <w:rPr>
            <w:noProof/>
          </w:rPr>
          <w:fldChar w:fldCharType="end"/>
        </w:r>
      </w:hyperlink>
    </w:p>
    <w:p w14:paraId="6452015D" w14:textId="2B09C23E" w:rsidR="000A052A" w:rsidRDefault="006D0015">
      <w:pPr>
        <w:pStyle w:val="11"/>
        <w:rPr>
          <w:rFonts w:asciiTheme="minorHAnsi" w:hAnsiTheme="minorHAnsi"/>
          <w:noProof/>
        </w:rPr>
      </w:pPr>
      <w:hyperlink w:anchor="_Toc256000019" w:history="1">
        <w:r w:rsidR="009713AD" w:rsidRPr="009E26D0">
          <w:rPr>
            <w:rStyle w:val="ac"/>
            <w:noProof/>
          </w:rPr>
          <w:t>第二十部分</w:t>
        </w:r>
        <w:r w:rsidR="009713AD" w:rsidRPr="009E26D0">
          <w:rPr>
            <w:rStyle w:val="ac"/>
            <w:noProof/>
          </w:rPr>
          <w:t xml:space="preserve">  </w:t>
        </w:r>
        <w:r w:rsidR="009713AD" w:rsidRPr="009E26D0">
          <w:rPr>
            <w:rStyle w:val="ac"/>
            <w:noProof/>
          </w:rPr>
          <w:t>违约责任</w:t>
        </w:r>
        <w:r w:rsidR="009713AD">
          <w:rPr>
            <w:noProof/>
          </w:rPr>
          <w:tab/>
        </w:r>
        <w:r w:rsidR="009713AD">
          <w:rPr>
            <w:noProof/>
          </w:rPr>
          <w:fldChar w:fldCharType="begin"/>
        </w:r>
        <w:r w:rsidR="009713AD">
          <w:rPr>
            <w:noProof/>
          </w:rPr>
          <w:instrText xml:space="preserve"> PAGEREF _Toc256000019 \h </w:instrText>
        </w:r>
        <w:r w:rsidR="009713AD">
          <w:rPr>
            <w:noProof/>
          </w:rPr>
        </w:r>
        <w:r w:rsidR="009713AD">
          <w:rPr>
            <w:noProof/>
          </w:rPr>
          <w:fldChar w:fldCharType="separate"/>
        </w:r>
        <w:r w:rsidR="00855765">
          <w:rPr>
            <w:noProof/>
          </w:rPr>
          <w:t>86</w:t>
        </w:r>
        <w:r w:rsidR="009713AD">
          <w:rPr>
            <w:noProof/>
          </w:rPr>
          <w:fldChar w:fldCharType="end"/>
        </w:r>
      </w:hyperlink>
    </w:p>
    <w:p w14:paraId="390B3131" w14:textId="3A78DF88" w:rsidR="000A052A" w:rsidRDefault="006D0015">
      <w:pPr>
        <w:pStyle w:val="11"/>
        <w:rPr>
          <w:rFonts w:asciiTheme="minorHAnsi" w:hAnsiTheme="minorHAnsi"/>
          <w:noProof/>
        </w:rPr>
      </w:pPr>
      <w:hyperlink w:anchor="_Toc256000020" w:history="1">
        <w:r w:rsidR="009713AD" w:rsidRPr="009E26D0">
          <w:rPr>
            <w:rStyle w:val="ac"/>
            <w:noProof/>
          </w:rPr>
          <w:t>第二十一部分</w:t>
        </w:r>
        <w:r w:rsidR="009713AD" w:rsidRPr="009E26D0">
          <w:rPr>
            <w:rStyle w:val="ac"/>
            <w:noProof/>
          </w:rPr>
          <w:t xml:space="preserve">  </w:t>
        </w:r>
        <w:r w:rsidR="009713AD" w:rsidRPr="009E26D0">
          <w:rPr>
            <w:rStyle w:val="ac"/>
            <w:noProof/>
          </w:rPr>
          <w:t>争议的处理和适用的法律</w:t>
        </w:r>
        <w:r w:rsidR="009713AD">
          <w:rPr>
            <w:noProof/>
          </w:rPr>
          <w:tab/>
        </w:r>
        <w:r w:rsidR="009713AD">
          <w:rPr>
            <w:noProof/>
          </w:rPr>
          <w:fldChar w:fldCharType="begin"/>
        </w:r>
        <w:r w:rsidR="009713AD">
          <w:rPr>
            <w:noProof/>
          </w:rPr>
          <w:instrText xml:space="preserve"> PAGEREF _Toc256000020 \h </w:instrText>
        </w:r>
        <w:r w:rsidR="009713AD">
          <w:rPr>
            <w:noProof/>
          </w:rPr>
        </w:r>
        <w:r w:rsidR="009713AD">
          <w:rPr>
            <w:noProof/>
          </w:rPr>
          <w:fldChar w:fldCharType="separate"/>
        </w:r>
        <w:r w:rsidR="00855765">
          <w:rPr>
            <w:noProof/>
          </w:rPr>
          <w:t>87</w:t>
        </w:r>
        <w:r w:rsidR="009713AD">
          <w:rPr>
            <w:noProof/>
          </w:rPr>
          <w:fldChar w:fldCharType="end"/>
        </w:r>
      </w:hyperlink>
    </w:p>
    <w:p w14:paraId="7D6AE78F" w14:textId="78580B46" w:rsidR="000A052A" w:rsidRDefault="006D0015">
      <w:pPr>
        <w:pStyle w:val="11"/>
        <w:rPr>
          <w:rFonts w:asciiTheme="minorHAnsi" w:hAnsiTheme="minorHAnsi"/>
          <w:noProof/>
        </w:rPr>
      </w:pPr>
      <w:hyperlink w:anchor="_Toc256000021" w:history="1">
        <w:r w:rsidR="009713AD" w:rsidRPr="009E26D0">
          <w:rPr>
            <w:rStyle w:val="ac"/>
            <w:noProof/>
          </w:rPr>
          <w:t>第二十二部分</w:t>
        </w:r>
        <w:r w:rsidR="009713AD" w:rsidRPr="009E26D0">
          <w:rPr>
            <w:rStyle w:val="ac"/>
            <w:noProof/>
          </w:rPr>
          <w:t xml:space="preserve">  </w:t>
        </w:r>
        <w:r w:rsidR="009713AD" w:rsidRPr="009E26D0">
          <w:rPr>
            <w:rStyle w:val="ac"/>
            <w:noProof/>
          </w:rPr>
          <w:t>基金合同的效力</w:t>
        </w:r>
        <w:r w:rsidR="009713AD">
          <w:rPr>
            <w:noProof/>
          </w:rPr>
          <w:tab/>
        </w:r>
        <w:r w:rsidR="009713AD">
          <w:rPr>
            <w:noProof/>
          </w:rPr>
          <w:fldChar w:fldCharType="begin"/>
        </w:r>
        <w:r w:rsidR="009713AD">
          <w:rPr>
            <w:noProof/>
          </w:rPr>
          <w:instrText xml:space="preserve"> PAGEREF _Toc256000021 \h </w:instrText>
        </w:r>
        <w:r w:rsidR="009713AD">
          <w:rPr>
            <w:noProof/>
          </w:rPr>
        </w:r>
        <w:r w:rsidR="009713AD">
          <w:rPr>
            <w:noProof/>
          </w:rPr>
          <w:fldChar w:fldCharType="separate"/>
        </w:r>
        <w:r w:rsidR="00855765">
          <w:rPr>
            <w:noProof/>
          </w:rPr>
          <w:t>88</w:t>
        </w:r>
        <w:r w:rsidR="009713AD">
          <w:rPr>
            <w:noProof/>
          </w:rPr>
          <w:fldChar w:fldCharType="end"/>
        </w:r>
      </w:hyperlink>
    </w:p>
    <w:p w14:paraId="09425316" w14:textId="2C59BA76" w:rsidR="000A052A" w:rsidRDefault="006D0015">
      <w:pPr>
        <w:pStyle w:val="11"/>
        <w:rPr>
          <w:rFonts w:asciiTheme="minorHAnsi" w:hAnsiTheme="minorHAnsi"/>
          <w:noProof/>
        </w:rPr>
      </w:pPr>
      <w:hyperlink w:anchor="_Toc256000022" w:history="1">
        <w:r w:rsidR="009713AD" w:rsidRPr="009E26D0">
          <w:rPr>
            <w:rStyle w:val="ac"/>
            <w:noProof/>
          </w:rPr>
          <w:t>第二十三部分</w:t>
        </w:r>
        <w:r w:rsidR="009713AD" w:rsidRPr="009E26D0">
          <w:rPr>
            <w:rStyle w:val="ac"/>
            <w:noProof/>
          </w:rPr>
          <w:t xml:space="preserve">  </w:t>
        </w:r>
        <w:r w:rsidR="009713AD" w:rsidRPr="009E26D0">
          <w:rPr>
            <w:rStyle w:val="ac"/>
            <w:noProof/>
          </w:rPr>
          <w:t>其他事项</w:t>
        </w:r>
        <w:r w:rsidR="009713AD">
          <w:rPr>
            <w:noProof/>
          </w:rPr>
          <w:tab/>
        </w:r>
        <w:r w:rsidR="009713AD">
          <w:rPr>
            <w:noProof/>
          </w:rPr>
          <w:fldChar w:fldCharType="begin"/>
        </w:r>
        <w:r w:rsidR="009713AD">
          <w:rPr>
            <w:noProof/>
          </w:rPr>
          <w:instrText xml:space="preserve"> PAGEREF _Toc256000022 \h </w:instrText>
        </w:r>
        <w:r w:rsidR="009713AD">
          <w:rPr>
            <w:noProof/>
          </w:rPr>
        </w:r>
        <w:r w:rsidR="009713AD">
          <w:rPr>
            <w:noProof/>
          </w:rPr>
          <w:fldChar w:fldCharType="separate"/>
        </w:r>
        <w:r w:rsidR="00855765">
          <w:rPr>
            <w:noProof/>
          </w:rPr>
          <w:t>89</w:t>
        </w:r>
        <w:r w:rsidR="009713AD">
          <w:rPr>
            <w:noProof/>
          </w:rPr>
          <w:fldChar w:fldCharType="end"/>
        </w:r>
      </w:hyperlink>
    </w:p>
    <w:p w14:paraId="507A2977" w14:textId="4A38DB99" w:rsidR="000A052A" w:rsidRDefault="006D0015">
      <w:pPr>
        <w:pStyle w:val="11"/>
        <w:rPr>
          <w:rFonts w:asciiTheme="minorHAnsi" w:hAnsiTheme="minorHAnsi"/>
          <w:noProof/>
        </w:rPr>
      </w:pPr>
      <w:hyperlink w:anchor="_Toc256000023" w:history="1">
        <w:r w:rsidR="009713AD" w:rsidRPr="009E26D0">
          <w:rPr>
            <w:rStyle w:val="ac"/>
            <w:noProof/>
          </w:rPr>
          <w:t>第二十四部分</w:t>
        </w:r>
        <w:r w:rsidR="009713AD" w:rsidRPr="009E26D0">
          <w:rPr>
            <w:rStyle w:val="ac"/>
            <w:noProof/>
          </w:rPr>
          <w:t xml:space="preserve">  </w:t>
        </w:r>
        <w:r w:rsidR="009713AD" w:rsidRPr="009E26D0">
          <w:rPr>
            <w:rStyle w:val="ac"/>
            <w:noProof/>
          </w:rPr>
          <w:t>基金合同内容摘要</w:t>
        </w:r>
        <w:r w:rsidR="009713AD">
          <w:rPr>
            <w:noProof/>
          </w:rPr>
          <w:tab/>
        </w:r>
        <w:r w:rsidR="009713AD">
          <w:rPr>
            <w:noProof/>
          </w:rPr>
          <w:fldChar w:fldCharType="begin"/>
        </w:r>
        <w:r w:rsidR="009713AD">
          <w:rPr>
            <w:noProof/>
          </w:rPr>
          <w:instrText xml:space="preserve"> PAGEREF _Toc256000023 \h </w:instrText>
        </w:r>
        <w:r w:rsidR="009713AD">
          <w:rPr>
            <w:noProof/>
          </w:rPr>
        </w:r>
        <w:r w:rsidR="009713AD">
          <w:rPr>
            <w:noProof/>
          </w:rPr>
          <w:fldChar w:fldCharType="separate"/>
        </w:r>
        <w:r w:rsidR="00855765">
          <w:rPr>
            <w:noProof/>
          </w:rPr>
          <w:t>90</w:t>
        </w:r>
        <w:r w:rsidR="009713AD">
          <w:rPr>
            <w:noProof/>
          </w:rPr>
          <w:fldChar w:fldCharType="end"/>
        </w:r>
      </w:hyperlink>
    </w:p>
    <w:p w14:paraId="79959617" w14:textId="77777777" w:rsidR="000028C2" w:rsidRPr="00657FE9" w:rsidRDefault="009713AD">
      <w:pPr>
        <w:jc w:val="left"/>
        <w:rPr>
          <w:rStyle w:val="read"/>
          <w:rFonts w:ascii="宋体" w:hAnsi="宋体" w:cs="宋体"/>
          <w:b/>
          <w:sz w:val="24"/>
        </w:rPr>
        <w:sectPr w:rsidR="000028C2" w:rsidRPr="00657FE9" w:rsidSect="0024488F">
          <w:headerReference w:type="default" r:id="rId10"/>
          <w:footerReference w:type="default" r:id="rId11"/>
          <w:pgSz w:w="11906" w:h="16838"/>
          <w:pgMar w:top="1440" w:right="1800" w:bottom="1440" w:left="1800" w:header="851" w:footer="992" w:gutter="0"/>
          <w:pgNumType w:start="1"/>
          <w:cols w:space="720"/>
          <w:docGrid w:type="lines" w:linePitch="312"/>
        </w:sectPr>
      </w:pPr>
      <w:r w:rsidRPr="00657FE9">
        <w:rPr>
          <w:rStyle w:val="read"/>
          <w:rFonts w:ascii="宋体" w:hAnsi="宋体" w:cs="宋体"/>
          <w:b/>
          <w:sz w:val="24"/>
        </w:rPr>
        <w:fldChar w:fldCharType="end"/>
      </w:r>
      <w:bookmarkStart w:id="36" w:name="_Toc452127896"/>
      <w:bookmarkStart w:id="37" w:name="_Toc2163435"/>
      <w:bookmarkStart w:id="38" w:name="_Toc11660"/>
    </w:p>
    <w:p w14:paraId="7AABE4B7" w14:textId="77777777" w:rsidR="009D63C8" w:rsidRDefault="009713AD" w:rsidP="009E26D0">
      <w:pPr>
        <w:pStyle w:val="1"/>
        <w:spacing w:before="0" w:after="0"/>
        <w:jc w:val="center"/>
        <w:rPr>
          <w:rFonts w:ascii="Times New Roman"/>
          <w:color w:val="auto"/>
          <w:sz w:val="30"/>
        </w:rPr>
      </w:pPr>
      <w:bookmarkStart w:id="39" w:name="_Toc139991731"/>
      <w:bookmarkStart w:id="40" w:name="_Toc256000000"/>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6"/>
      <w:bookmarkEnd w:id="37"/>
      <w:bookmarkEnd w:id="38"/>
      <w:bookmarkEnd w:id="39"/>
      <w:r w:rsidRPr="009E26D0">
        <w:rPr>
          <w:rFonts w:ascii="Times New Roman"/>
          <w:noProof/>
          <w:color w:val="auto"/>
          <w:sz w:val="30"/>
        </w:rPr>
        <w:lastRenderedPageBreak/>
        <w:t>第一部分</w:t>
      </w:r>
      <w:r w:rsidRPr="009E26D0">
        <w:rPr>
          <w:rFonts w:ascii="Times New Roman"/>
          <w:noProof/>
          <w:color w:val="auto"/>
          <w:sz w:val="30"/>
        </w:rPr>
        <w:t xml:space="preserve">  </w:t>
      </w:r>
      <w:r w:rsidRPr="009E26D0">
        <w:rPr>
          <w:rFonts w:ascii="Times New Roman"/>
          <w:noProof/>
          <w:color w:val="auto"/>
          <w:sz w:val="30"/>
        </w:rPr>
        <w:t>前言</w:t>
      </w:r>
      <w:bookmarkEnd w:id="40"/>
    </w:p>
    <w:p w14:paraId="2F724421" w14:textId="77777777" w:rsidR="007A2B34" w:rsidRPr="0017353E" w:rsidRDefault="007A2B34" w:rsidP="0090469D"/>
    <w:p w14:paraId="4DAC855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订立本基金合同的目的、依据和原则</w:t>
      </w:r>
    </w:p>
    <w:p w14:paraId="6E85701D"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订立本基金合同的目的是保护投资人合法权益，明确基金合同当事人的权利义务，规范基金运作。</w:t>
      </w:r>
    </w:p>
    <w:p w14:paraId="102B0A3D"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订立本基金合同的依据是《中华人民共和国民法典》、《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w:t>
      </w:r>
      <w:r>
        <w:rPr>
          <w:rStyle w:val="custom"/>
          <w:rFonts w:ascii="宋体" w:hAnsi="宋体" w:cs="宋体"/>
          <w:kern w:val="0"/>
          <w:sz w:val="24"/>
          <w:szCs w:val="24"/>
        </w:rPr>
        <w:t>、《公开募集证券投资基金运作指引第3号——指数基金指引》（以下简称“《指数基金指引》”）</w:t>
      </w:r>
      <w:r>
        <w:rPr>
          <w:rFonts w:ascii="宋体" w:hAnsi="宋体" w:cs="宋体"/>
          <w:kern w:val="0"/>
          <w:sz w:val="24"/>
          <w:szCs w:val="24"/>
        </w:rPr>
        <w:t>和其他有关法律法规。</w:t>
      </w:r>
    </w:p>
    <w:p w14:paraId="5E3489D2"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订立本基金合同的原则是平等自愿、诚实信用、充分保护投资人合法权益。</w:t>
      </w:r>
    </w:p>
    <w:p w14:paraId="209817F4"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05DBBD3E"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59F79F94"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三、汇添富中证全指指数增强型证券投资基金</w:t>
      </w:r>
      <w:r>
        <w:rPr>
          <w:rFonts w:ascii="宋体" w:hAnsi="宋体" w:cs="宋体"/>
          <w:kern w:val="0"/>
          <w:sz w:val="24"/>
          <w:szCs w:val="24"/>
        </w:rPr>
        <w:t>由基金管理人依照《基金法》、基金合同及其他有关规定募集，并经中国证券监督管理委员会(以下简称“中国证监会”)注册。</w:t>
      </w:r>
    </w:p>
    <w:p w14:paraId="0BB1E97B"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中国证监会对本基金</w:t>
      </w:r>
      <w:r>
        <w:rPr>
          <w:rStyle w:val="custom"/>
          <w:rFonts w:ascii="宋体" w:hAnsi="宋体" w:cs="宋体"/>
          <w:kern w:val="0"/>
          <w:sz w:val="24"/>
          <w:szCs w:val="24"/>
        </w:rPr>
        <w:t>募集</w:t>
      </w:r>
      <w:r>
        <w:rPr>
          <w:rFonts w:ascii="宋体" w:hAnsi="宋体" w:cs="宋体"/>
          <w:kern w:val="0"/>
          <w:sz w:val="24"/>
          <w:szCs w:val="24"/>
        </w:rPr>
        <w:t>的注册，并不表明其对本基金的投资价值和市场前景做出实质性判断或保证，也不表明投资于本基金没有风险。</w:t>
      </w:r>
    </w:p>
    <w:p w14:paraId="4356B8B3"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基金管理人依照恪尽职守、诚实信用、谨慎勤勉的原则管理和运用基金财产，但不保证投资于本基金一定盈利，也不保证最低收益。</w:t>
      </w:r>
    </w:p>
    <w:p w14:paraId="70F87A86"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投资者应当认真阅读基金招募说明书、基金合同、基金产品资料概要等信</w:t>
      </w:r>
      <w:r>
        <w:rPr>
          <w:rFonts w:ascii="宋体" w:hAnsi="宋体" w:cs="宋体"/>
          <w:kern w:val="0"/>
          <w:sz w:val="24"/>
          <w:szCs w:val="24"/>
        </w:rPr>
        <w:lastRenderedPageBreak/>
        <w:t>息披露文件，自主判断基金的投资价值，自主做出投资决策，自行承担投资风险。</w:t>
      </w:r>
    </w:p>
    <w:p w14:paraId="07815C2C"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基金管理人、基金托管人在本基金合同之外披露涉及本基金的信息，其内容涉及界定基金合同当事人之间权利义务关系的，如与基金合同有冲突，以基金合同为准。</w:t>
      </w:r>
    </w:p>
    <w:p w14:paraId="08B9B045"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本基金按照中国法律法规成立并运作，若基金合同的内容与届时有效的法律法规的强制性规定不一致，应当以届时有效的法律法规的规定为准。</w:t>
      </w:r>
    </w:p>
    <w:p w14:paraId="56AC07F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六、本基金投资相关股票市场交易互联互通机制试点（以下简称“港股通机制”）允许买卖的规定范围内的香港联合交易所上市的股票（以下简称“港股通标的股票”）的，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请查阅本基金招募说明书的“风险揭示”章节的具体内容。</w:t>
      </w:r>
    </w:p>
    <w:p w14:paraId="20BA0105"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本基金可根据投资策略需要或不同配置地市场环境的变化，选择将部分基金资产投资于港股或选择不将基金资产投资于港股，基金资产并非必然投资港股。</w:t>
      </w:r>
    </w:p>
    <w:p w14:paraId="1AC5ED71"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本基金可投资存托凭证，除普通股票投资可能面临的宏观经济风险、政策风险、市场风险、流动性风险外，还将面临存托凭证持有人与持有基础股票的股东在法律地位享有权利等方面存在差异可能引发的风险、发行人采用协议控制架构的风险、增发基础证券可能导致的存托凭证持有人权益被摊薄的风险、交易机制相关风险、存托凭证退市风险等其他风险。</w:t>
      </w:r>
    </w:p>
    <w:p w14:paraId="3632CC9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八、本基金单一投资者持有基金份额数不得达到或超过基金份额总数的50%，但在基金运作过程中因基金份额赎回等基金管理人无法予以控制的情形导致被动达到或超过50%的除外。法律法规或监管机构另有规定的，从其规定。</w:t>
      </w:r>
    </w:p>
    <w:p w14:paraId="579B655D" w14:textId="77777777" w:rsidR="003A3FA4"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九、本基金为股票型指数增强基金，投资者投资于本基金面临跟踪误差控制未达约定目标、指数编制机构停止服务、成份股停牌等潜在风险，详见本基金招募说明书。</w:t>
      </w:r>
    </w:p>
    <w:p w14:paraId="1EC9DA3F" w14:textId="77777777" w:rsidR="003A3FA4" w:rsidRPr="003A3FA4" w:rsidRDefault="003A3FA4" w:rsidP="003A3FA4">
      <w:pPr>
        <w:pStyle w:val="div"/>
        <w:spacing w:line="360" w:lineRule="auto"/>
        <w:ind w:firstLine="420"/>
        <w:rPr>
          <w:rFonts w:ascii="宋体" w:hAnsi="宋体" w:cs="宋体"/>
          <w:kern w:val="0"/>
          <w:sz w:val="24"/>
          <w:szCs w:val="24"/>
        </w:rPr>
      </w:pPr>
      <w:r>
        <w:rPr>
          <w:rStyle w:val="custom"/>
          <w:rFonts w:ascii="宋体" w:hAnsi="宋体" w:cs="宋体" w:hint="eastAsia"/>
          <w:kern w:val="0"/>
          <w:sz w:val="24"/>
          <w:szCs w:val="24"/>
        </w:rPr>
        <w:lastRenderedPageBreak/>
        <w:t>十、</w:t>
      </w:r>
      <w:r w:rsidRPr="003A3FA4">
        <w:rPr>
          <w:rFonts w:ascii="宋体" w:hAnsi="宋体" w:cs="宋体" w:hint="eastAsia"/>
          <w:kern w:val="0"/>
          <w:sz w:val="24"/>
          <w:szCs w:val="24"/>
        </w:rPr>
        <w:t>对于投资者通过直销机构认/申购C类基金份额计提的销售服务费、通过其他销售机构认/申购的C类基金份额持续持有期限超过一年</w:t>
      </w:r>
      <w:r w:rsidRPr="003A3FA4">
        <w:rPr>
          <w:rFonts w:ascii="宋体" w:hAnsi="宋体" w:cs="宋体" w:hint="eastAsia"/>
          <w:bCs/>
          <w:kern w:val="0"/>
          <w:sz w:val="24"/>
          <w:szCs w:val="24"/>
          <w:lang w:bidi="en-US"/>
        </w:rPr>
        <w:t>（即</w:t>
      </w:r>
      <w:r w:rsidRPr="003A3FA4">
        <w:rPr>
          <w:rFonts w:ascii="宋体" w:hAnsi="宋体" w:cs="宋体"/>
          <w:bCs/>
          <w:kern w:val="0"/>
          <w:sz w:val="24"/>
          <w:szCs w:val="24"/>
          <w:lang w:bidi="en-US"/>
        </w:rPr>
        <w:t>365</w:t>
      </w:r>
      <w:r w:rsidRPr="003A3FA4">
        <w:rPr>
          <w:rFonts w:ascii="宋体" w:hAnsi="宋体" w:cs="宋体" w:hint="eastAsia"/>
          <w:bCs/>
          <w:kern w:val="0"/>
          <w:sz w:val="24"/>
          <w:szCs w:val="24"/>
          <w:lang w:bidi="en-US"/>
        </w:rPr>
        <w:t>天）</w:t>
      </w:r>
      <w:r w:rsidRPr="003A3FA4">
        <w:rPr>
          <w:rFonts w:ascii="宋体" w:hAnsi="宋体" w:cs="宋体" w:hint="eastAsia"/>
          <w:kern w:val="0"/>
          <w:sz w:val="24"/>
          <w:szCs w:val="24"/>
        </w:rPr>
        <w:t xml:space="preserve">以后继续计提的销售服务费采取先收后返模式，基金投资者实际收到的赎回款项或清算款项的金额可能与按披露的C类基金份额净值计算的结果存在差异。投资者的实际赎回金额和清算资金以登记机构确认数据为准。 </w:t>
      </w:r>
    </w:p>
    <w:p w14:paraId="55E05E3A" w14:textId="4A82C6B8"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br w:type="page"/>
      </w:r>
    </w:p>
    <w:p w14:paraId="1B8BC3F2" w14:textId="77777777" w:rsidR="009D63C8" w:rsidRDefault="009713AD" w:rsidP="009E26D0">
      <w:pPr>
        <w:pStyle w:val="1"/>
        <w:spacing w:before="0" w:after="0"/>
        <w:jc w:val="center"/>
        <w:rPr>
          <w:rFonts w:ascii="Times New Roman"/>
          <w:color w:val="auto"/>
          <w:sz w:val="30"/>
        </w:rPr>
      </w:pPr>
      <w:bookmarkStart w:id="41" w:name="_Toc256000001"/>
      <w:r w:rsidRPr="009E26D0">
        <w:rPr>
          <w:rFonts w:ascii="Times New Roman"/>
          <w:noProof/>
          <w:color w:val="auto"/>
          <w:sz w:val="30"/>
        </w:rPr>
        <w:lastRenderedPageBreak/>
        <w:t>第二部分</w:t>
      </w:r>
      <w:r w:rsidRPr="009E26D0">
        <w:rPr>
          <w:rFonts w:ascii="Times New Roman"/>
          <w:noProof/>
          <w:color w:val="auto"/>
          <w:sz w:val="30"/>
        </w:rPr>
        <w:t xml:space="preserve">  </w:t>
      </w:r>
      <w:r w:rsidRPr="009E26D0">
        <w:rPr>
          <w:rFonts w:ascii="Times New Roman"/>
          <w:noProof/>
          <w:color w:val="auto"/>
          <w:sz w:val="30"/>
        </w:rPr>
        <w:t>释义</w:t>
      </w:r>
      <w:bookmarkEnd w:id="41"/>
    </w:p>
    <w:p w14:paraId="5BE8CB77" w14:textId="77777777" w:rsidR="007A2B34" w:rsidRPr="0017353E" w:rsidRDefault="007A2B34" w:rsidP="0090469D"/>
    <w:p w14:paraId="0CD2890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在本基金合同中，除非文意另有所指，下列词语或简称具有如下含义：</w:t>
      </w:r>
    </w:p>
    <w:p w14:paraId="03E04BA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基金或本基金：指</w:t>
      </w:r>
      <w:r>
        <w:rPr>
          <w:rStyle w:val="custom"/>
          <w:rFonts w:ascii="宋体" w:hAnsi="宋体" w:cs="宋体"/>
          <w:kern w:val="0"/>
          <w:sz w:val="24"/>
          <w:szCs w:val="24"/>
        </w:rPr>
        <w:t>汇添富中证全指指数增强型证券投资基金</w:t>
      </w:r>
    </w:p>
    <w:p w14:paraId="4EC32BA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基金管理人：指汇添富基金管理股份有限公司</w:t>
      </w:r>
    </w:p>
    <w:p w14:paraId="306E3AF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基金托管人：指</w:t>
      </w:r>
      <w:r>
        <w:rPr>
          <w:rStyle w:val="custom"/>
          <w:rFonts w:ascii="宋体" w:hAnsi="宋体" w:cs="宋体"/>
          <w:kern w:val="0"/>
          <w:sz w:val="24"/>
          <w:szCs w:val="24"/>
        </w:rPr>
        <w:t>中国建设银行股份有限公司</w:t>
      </w:r>
    </w:p>
    <w:p w14:paraId="0FD8463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基金合同或本基金合同：指《</w:t>
      </w:r>
      <w:r>
        <w:rPr>
          <w:rStyle w:val="custom"/>
          <w:rFonts w:ascii="宋体" w:hAnsi="宋体" w:cs="宋体"/>
          <w:kern w:val="0"/>
          <w:sz w:val="24"/>
          <w:szCs w:val="24"/>
        </w:rPr>
        <w:t>汇添富中证全指指数增强型证券投资基金</w:t>
      </w:r>
      <w:r>
        <w:rPr>
          <w:rFonts w:ascii="宋体" w:hAnsi="宋体" w:cs="宋体"/>
          <w:kern w:val="0"/>
          <w:sz w:val="24"/>
          <w:szCs w:val="24"/>
        </w:rPr>
        <w:t>基金合同》及对本基金合同的任何有效修订和补充</w:t>
      </w:r>
    </w:p>
    <w:p w14:paraId="770B29F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托管协议：指基金管理人与基金托管人就本基金签订之《</w:t>
      </w:r>
      <w:r>
        <w:rPr>
          <w:rStyle w:val="custom"/>
          <w:rFonts w:ascii="宋体" w:hAnsi="宋体" w:cs="宋体"/>
          <w:kern w:val="0"/>
          <w:sz w:val="24"/>
          <w:szCs w:val="24"/>
        </w:rPr>
        <w:t>汇添富中证全指指数增强型证券投资基金</w:t>
      </w:r>
      <w:r>
        <w:rPr>
          <w:rFonts w:ascii="宋体" w:hAnsi="宋体" w:cs="宋体"/>
          <w:kern w:val="0"/>
          <w:sz w:val="24"/>
          <w:szCs w:val="24"/>
        </w:rPr>
        <w:t>托管协议》及对该托管协议的任何有效修订和补充</w:t>
      </w:r>
    </w:p>
    <w:p w14:paraId="02569F9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招募说明书：指《</w:t>
      </w:r>
      <w:r>
        <w:rPr>
          <w:rStyle w:val="custom"/>
          <w:rFonts w:ascii="宋体" w:hAnsi="宋体" w:cs="宋体"/>
          <w:kern w:val="0"/>
          <w:sz w:val="24"/>
          <w:szCs w:val="24"/>
        </w:rPr>
        <w:t>汇添富中证全指指数增强型证券投资基金</w:t>
      </w:r>
      <w:r>
        <w:rPr>
          <w:rFonts w:ascii="宋体" w:hAnsi="宋体" w:cs="宋体"/>
          <w:kern w:val="0"/>
          <w:sz w:val="24"/>
          <w:szCs w:val="24"/>
        </w:rPr>
        <w:t>招募说明书》及其更新</w:t>
      </w:r>
    </w:p>
    <w:p w14:paraId="5035EF4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基金产品资料概要：指《</w:t>
      </w:r>
      <w:r>
        <w:rPr>
          <w:rStyle w:val="custom"/>
          <w:rFonts w:ascii="宋体" w:hAnsi="宋体" w:cs="宋体"/>
          <w:kern w:val="0"/>
          <w:sz w:val="24"/>
          <w:szCs w:val="24"/>
        </w:rPr>
        <w:t>汇添富中证全指指数增强型证券投资基金</w:t>
      </w:r>
      <w:r>
        <w:rPr>
          <w:rFonts w:ascii="宋体" w:hAnsi="宋体" w:cs="宋体"/>
          <w:kern w:val="0"/>
          <w:sz w:val="24"/>
          <w:szCs w:val="24"/>
        </w:rPr>
        <w:t>基金产品资料概要》及其更新</w:t>
      </w:r>
    </w:p>
    <w:p w14:paraId="402934D6"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custom"/>
          <w:rFonts w:ascii="宋体" w:hAnsi="宋体" w:cs="宋体"/>
          <w:kern w:val="0"/>
          <w:sz w:val="24"/>
          <w:szCs w:val="24"/>
        </w:rPr>
        <w:t>基金份额发售公告：指《汇添富中证全指指数增强型证券投资基金基金份额发售公告》</w:t>
      </w:r>
    </w:p>
    <w:p w14:paraId="07DCCF8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法律法规：指中国现行有效并公布实施的法律、行政法规、规范性文件、司法解释、行政规章以及其他对基金合同当事人有约束力的决定、决议、通知等</w:t>
      </w:r>
    </w:p>
    <w:p w14:paraId="3D1178E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62591FF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《销售办法》：指中国证监会2020年8月28日颁布、同年10月1日实施的《公开募集证券投资基金销售机构监督管理办法》及颁布机关对其不时做出的修订</w:t>
      </w:r>
    </w:p>
    <w:p w14:paraId="102C615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《信息披露办法》：指中国证监会2019年7月26日颁布、同年9月1</w:t>
      </w:r>
      <w:r>
        <w:rPr>
          <w:rFonts w:ascii="宋体" w:hAnsi="宋体" w:cs="宋体"/>
          <w:kern w:val="0"/>
          <w:sz w:val="24"/>
          <w:szCs w:val="24"/>
        </w:rPr>
        <w:lastRenderedPageBreak/>
        <w:t>日实施的，并经2020年3月20日中国证监会《关于修改部分证券期货规章的决定》修正的《公开募集证券投资基金信息披露管理办法》及颁布机关对其不时做出的修订</w:t>
      </w:r>
    </w:p>
    <w:p w14:paraId="119DE2F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《运作办法》：指中国证监会2014年7月7日颁布、同年8月8日实施的《公开募集证券投资基金运作管理办法》及颁布机关对其不时做出的修订</w:t>
      </w:r>
    </w:p>
    <w:p w14:paraId="71194B0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《流动性风险管理规定》：指中国证监会2017年8月31日颁布、同年10月1日实施的《公开募集开放式证券投资基金流动性风险管理规定》及颁布机关对其不时做出的修订</w:t>
      </w:r>
    </w:p>
    <w:p w14:paraId="72609DA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15、《指数基金指引》：指中国证监会2021年1月18日颁布、同年2月1日实施的《公开募集证券投资基金运作指引第3号——指数基金指引》及颁布机关对其不时做出的修订</w:t>
      </w:r>
    </w:p>
    <w:p w14:paraId="7F8C82B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16、标的指数：指中证全指指数</w:t>
      </w:r>
    </w:p>
    <w:p w14:paraId="4C7F236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中国证监会：指中国证券监督管理委员会</w:t>
      </w:r>
    </w:p>
    <w:p w14:paraId="447E3BE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18、银行业监督管理机构：指中国人民银行和/或国家金融监督管理总局</w:t>
      </w:r>
    </w:p>
    <w:p w14:paraId="39CCCEB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基金合同当事人：指受基金合同约束，根据基金合同享有权利并承担义务的法律主体，包括基金管理人、基金托管人和基金份额持有人</w:t>
      </w:r>
    </w:p>
    <w:p w14:paraId="0122BBA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个人投资者：指依据有关法律法规规定可投资于证券投资基金的自然人</w:t>
      </w:r>
    </w:p>
    <w:p w14:paraId="2C862E4B"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21、</w:t>
      </w:r>
      <w:r>
        <w:rPr>
          <w:rFonts w:ascii="宋体" w:hAnsi="宋体" w:cs="宋体"/>
          <w:kern w:val="0"/>
          <w:sz w:val="24"/>
          <w:szCs w:val="24"/>
        </w:rPr>
        <w:t>机构投资者：指依法可以投资证券投资基金的、在中华人民共和国境内合法登记并存续或经有关政府部门批准设立并存续的企业法人、事业法人、社会团体或其他组织</w:t>
      </w:r>
    </w:p>
    <w:p w14:paraId="32AABC4E"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5B06BF2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23、投资人、投资者：指个人投资者、机构投资者、合格境外投资者以及法律法规或中国证监会允许购买证券投资基金的其他投资人的合称</w:t>
      </w:r>
    </w:p>
    <w:p w14:paraId="2CDF65C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24、</w:t>
      </w:r>
      <w:r>
        <w:rPr>
          <w:rFonts w:ascii="宋体" w:hAnsi="宋体" w:cs="宋体"/>
          <w:kern w:val="0"/>
          <w:sz w:val="24"/>
          <w:szCs w:val="24"/>
        </w:rPr>
        <w:t>基金份额持有人：指依基金合同和招募说明书合法取得基金份额的投资人</w:t>
      </w:r>
    </w:p>
    <w:p w14:paraId="1150BDD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25、</w:t>
      </w:r>
      <w:r>
        <w:rPr>
          <w:rFonts w:ascii="宋体" w:hAnsi="宋体" w:cs="宋体"/>
          <w:kern w:val="0"/>
          <w:sz w:val="24"/>
          <w:szCs w:val="24"/>
        </w:rPr>
        <w:t>基金销售业务：指基金管理人或销售机构宣传推介基金，</w:t>
      </w:r>
      <w:r>
        <w:rPr>
          <w:rStyle w:val="custom"/>
          <w:rFonts w:ascii="宋体" w:hAnsi="宋体" w:cs="宋体"/>
          <w:kern w:val="0"/>
          <w:sz w:val="24"/>
          <w:szCs w:val="24"/>
        </w:rPr>
        <w:t>发售基金份额，</w:t>
      </w:r>
      <w:r>
        <w:rPr>
          <w:rFonts w:ascii="宋体" w:hAnsi="宋体" w:cs="宋体"/>
          <w:kern w:val="0"/>
          <w:sz w:val="24"/>
          <w:szCs w:val="24"/>
        </w:rPr>
        <w:t>办理基金份额的申购、赎回、转换、转托管及定期定额投资等业务</w:t>
      </w:r>
    </w:p>
    <w:p w14:paraId="6190AC1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26、销售机构：指汇添富基金管理股份有限公司以及符合《销售办法》和中国证监会规定的其他条件，取得基金销售业务资格并与基金管理人签订了基金销售服务协议，办理基金销售业务的机构</w:t>
      </w:r>
    </w:p>
    <w:p w14:paraId="0625C76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27、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7260130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28、</w:t>
      </w:r>
      <w:r>
        <w:rPr>
          <w:rFonts w:ascii="宋体" w:hAnsi="宋体" w:cs="宋体"/>
          <w:kern w:val="0"/>
          <w:sz w:val="24"/>
          <w:szCs w:val="24"/>
        </w:rPr>
        <w:t>登记机构：指办理登记业务的机构。基金的登记机构为汇添富基金管理股份有限公司或接受汇添富基金管理股份有限公司委托代为办理登记业务的机构</w:t>
      </w:r>
    </w:p>
    <w:p w14:paraId="6AC71ED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29、基金账户：指登记机构为投资人开立的、记录其持有的、基金管理人所管理的基金份额余额及其变动情况的账户</w:t>
      </w:r>
    </w:p>
    <w:p w14:paraId="73F68DD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30、</w:t>
      </w:r>
      <w:r>
        <w:rPr>
          <w:rFonts w:ascii="宋体" w:hAnsi="宋体" w:cs="宋体"/>
          <w:kern w:val="0"/>
          <w:sz w:val="24"/>
          <w:szCs w:val="24"/>
        </w:rPr>
        <w:t>基金交易账户：指销售机构为投资人开立的、记录投资人通过该销售机构办理</w:t>
      </w:r>
      <w:r>
        <w:rPr>
          <w:rStyle w:val="custom"/>
          <w:rFonts w:ascii="宋体" w:hAnsi="宋体" w:cs="宋体"/>
          <w:kern w:val="0"/>
          <w:sz w:val="24"/>
          <w:szCs w:val="24"/>
        </w:rPr>
        <w:t>认购、</w:t>
      </w:r>
      <w:r>
        <w:rPr>
          <w:rFonts w:ascii="宋体" w:hAnsi="宋体" w:cs="宋体"/>
          <w:kern w:val="0"/>
          <w:sz w:val="24"/>
          <w:szCs w:val="24"/>
        </w:rPr>
        <w:t>申购、赎回、转换、转托管及定期定额投资等业务而引起的基金份额变动及结余情况的账户</w:t>
      </w:r>
    </w:p>
    <w:p w14:paraId="54AC87C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31、</w:t>
      </w:r>
      <w:r>
        <w:rPr>
          <w:rFonts w:ascii="宋体" w:hAnsi="宋体" w:cs="宋体"/>
          <w:kern w:val="0"/>
          <w:sz w:val="24"/>
          <w:szCs w:val="24"/>
        </w:rPr>
        <w:t>基金合同生效日：</w:t>
      </w:r>
      <w:r>
        <w:rPr>
          <w:rStyle w:val="custom"/>
          <w:rFonts w:ascii="宋体" w:hAnsi="宋体" w:cs="宋体"/>
          <w:kern w:val="0"/>
          <w:sz w:val="24"/>
          <w:szCs w:val="24"/>
        </w:rPr>
        <w:t>指基金募集达到法律法规规定及基金合同规定的条件，基金管理人向中国证监会办理基金备案手续完毕，并获得中国证监会书面确认的日期</w:t>
      </w:r>
    </w:p>
    <w:p w14:paraId="79E20EA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32、</w:t>
      </w:r>
      <w:r>
        <w:rPr>
          <w:rFonts w:ascii="宋体" w:hAnsi="宋体" w:cs="宋体"/>
          <w:kern w:val="0"/>
          <w:sz w:val="24"/>
          <w:szCs w:val="24"/>
        </w:rPr>
        <w:t>基金合同终止日：指基金合同规定的基金合同终止事由出现后，基金财产清算完毕，清算结果报中国证监会备案并予以公告的日期</w:t>
      </w:r>
    </w:p>
    <w:p w14:paraId="7058CDF8"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33、</w:t>
      </w:r>
      <w:r>
        <w:rPr>
          <w:rStyle w:val="custom"/>
          <w:rFonts w:ascii="宋体" w:hAnsi="宋体" w:cs="宋体"/>
          <w:kern w:val="0"/>
          <w:sz w:val="24"/>
          <w:szCs w:val="24"/>
        </w:rPr>
        <w:t>基金募集期：指自基金份额发售之日起至发售结束之日止的期间，最长不得超过3个月</w:t>
      </w:r>
    </w:p>
    <w:p w14:paraId="19E2910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34、</w:t>
      </w:r>
      <w:r>
        <w:rPr>
          <w:rFonts w:ascii="宋体" w:hAnsi="宋体" w:cs="宋体"/>
          <w:kern w:val="0"/>
          <w:sz w:val="24"/>
          <w:szCs w:val="24"/>
        </w:rPr>
        <w:t>存续期：指基金合同生效至终止之间的不定期期限</w:t>
      </w:r>
    </w:p>
    <w:p w14:paraId="23E20BE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35、</w:t>
      </w:r>
      <w:r>
        <w:rPr>
          <w:rFonts w:ascii="宋体" w:hAnsi="宋体" w:cs="宋体"/>
          <w:kern w:val="0"/>
          <w:sz w:val="24"/>
          <w:szCs w:val="24"/>
        </w:rPr>
        <w:t>工作日：指上海证券交易所、深圳证券交易所的正常交易日</w:t>
      </w:r>
    </w:p>
    <w:p w14:paraId="31EFD21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36、</w:t>
      </w:r>
      <w:r>
        <w:rPr>
          <w:rFonts w:ascii="宋体" w:hAnsi="宋体" w:cs="宋体"/>
          <w:kern w:val="0"/>
          <w:sz w:val="24"/>
          <w:szCs w:val="24"/>
        </w:rPr>
        <w:t>T日：指销售机构在规定时间受理投资人申购、赎回或其他业务申请的开放日</w:t>
      </w:r>
    </w:p>
    <w:p w14:paraId="585BC48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37、</w:t>
      </w:r>
      <w:r>
        <w:rPr>
          <w:rFonts w:ascii="宋体" w:hAnsi="宋体" w:cs="宋体"/>
          <w:kern w:val="0"/>
          <w:sz w:val="24"/>
          <w:szCs w:val="24"/>
        </w:rPr>
        <w:t>T+n日：指自T日起第n个工作日(不包含T日)</w:t>
      </w:r>
    </w:p>
    <w:p w14:paraId="538E3DE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38、开放日：指为投资人办理基金份额申购、赎回或其他业务的工作日（如</w:t>
      </w:r>
      <w:r>
        <w:rPr>
          <w:rStyle w:val="custom"/>
          <w:rFonts w:ascii="宋体" w:hAnsi="宋体" w:cs="宋体"/>
          <w:kern w:val="0"/>
          <w:sz w:val="24"/>
          <w:szCs w:val="24"/>
        </w:rPr>
        <w:lastRenderedPageBreak/>
        <w:t>遇香港联合交易所法定节假日或因其他原因暂停营业或港股通暂停交易的情形，基金管理人有权暂停办理基金份额的申购和赎回业务）</w:t>
      </w:r>
    </w:p>
    <w:p w14:paraId="12EA049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39、</w:t>
      </w:r>
      <w:r>
        <w:rPr>
          <w:rFonts w:ascii="宋体" w:hAnsi="宋体" w:cs="宋体"/>
          <w:kern w:val="0"/>
          <w:sz w:val="24"/>
          <w:szCs w:val="24"/>
        </w:rPr>
        <w:t>开放时间：指开放日基金接受申购、赎回或其他交易的时间段</w:t>
      </w:r>
    </w:p>
    <w:p w14:paraId="36BDD7E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40、《业务规则》：指《汇添富基金管理股份有限公司开放式基金业务规则》，是规范基金管理人所管理的开放式证券投资基金登记方面的业务规则，由基金管理人和投资人共同遵守</w:t>
      </w:r>
    </w:p>
    <w:p w14:paraId="2C0FF58F"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41、</w:t>
      </w:r>
      <w:r>
        <w:rPr>
          <w:rStyle w:val="custom"/>
          <w:rFonts w:ascii="宋体" w:hAnsi="宋体" w:cs="宋体"/>
          <w:kern w:val="0"/>
          <w:sz w:val="24"/>
          <w:szCs w:val="24"/>
        </w:rPr>
        <w:t>认购：指在基金募集期内，投资人根据基金合同和招募说明书的规定申请购买基金份额的行为</w:t>
      </w:r>
    </w:p>
    <w:p w14:paraId="7B4C3D7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42、申购：指基金合同生效后，投资人根据基金合同和招募说明书的规定申请购买基金份额的行为</w:t>
      </w:r>
    </w:p>
    <w:p w14:paraId="36DF329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43、赎回：指基金合同生效后，基金份额持有人按基金合同和招募说明书规定的条件要求将基金份额兑换为现金的行为</w:t>
      </w:r>
    </w:p>
    <w:p w14:paraId="2BA4601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44、</w:t>
      </w:r>
      <w:r>
        <w:rPr>
          <w:rFonts w:ascii="宋体" w:hAnsi="宋体" w:cs="宋体"/>
          <w:kern w:val="0"/>
          <w:sz w:val="24"/>
          <w:szCs w:val="24"/>
        </w:rPr>
        <w:t>基金转换：指基金份额持有人按照本基金合同和基金管理人届时有效公告规定的条件，申请将其持有基金管理人管理的、某一基金的基金份额转换为基金管理人管理的其他基金基金份额的行为</w:t>
      </w:r>
    </w:p>
    <w:p w14:paraId="5C0608C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45、转托管：指基金份额持有人在本基金的不同销售机构之间实施的变更所持基金份额销售机构的操作</w:t>
      </w:r>
    </w:p>
    <w:p w14:paraId="6E8C62C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46、定期定额投资计划：指投资人通过有关销售机构提出申请，约定每期申购日、扣款金额及扣款方式，由销售机构于每期约定扣款日在投资人指定银行账户内自动完成扣款及受理基金申购申请的一种投资方式</w:t>
      </w:r>
    </w:p>
    <w:p w14:paraId="1AB68958"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47、巨额赎回：指本基金单个开放日，基金净赎回申请（赎回申请份额总数加上基金转换中转出申请份额总数后扣除申购申请份额总数及基金转换中转入申请份额总数后的余额，不同类别份额合并计算）超过上一开放日基金总份额的10%</w:t>
      </w:r>
    </w:p>
    <w:p w14:paraId="67BFC404"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48、</w:t>
      </w:r>
      <w:r>
        <w:rPr>
          <w:rFonts w:ascii="宋体" w:hAnsi="宋体" w:cs="宋体"/>
          <w:kern w:val="0"/>
          <w:sz w:val="24"/>
          <w:szCs w:val="24"/>
        </w:rPr>
        <w:t>收益评价日：指基金管理人计算本基金相对业绩比较基准的超额收益率和/或基金可供分配利润金额之日</w:t>
      </w:r>
    </w:p>
    <w:p w14:paraId="42CFBF7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49、</w:t>
      </w:r>
      <w:r>
        <w:rPr>
          <w:rFonts w:ascii="宋体" w:hAnsi="宋体" w:cs="宋体"/>
          <w:kern w:val="0"/>
          <w:sz w:val="24"/>
          <w:szCs w:val="24"/>
        </w:rPr>
        <w:t>元：指人民币元</w:t>
      </w:r>
    </w:p>
    <w:p w14:paraId="36F2302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50、基金收益：指基金投资所得红利、股息、债券利息、买卖证券价差、银行存款利息、已实现的其他合法收入及因运用基金财产带来的成本和费用的节约</w:t>
      </w:r>
    </w:p>
    <w:p w14:paraId="042DE07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51、基金资产总值：指基金拥有的各类有价证券及票据价值、银行存款本息、基金应收申购款及其他资产的价值总和</w:t>
      </w:r>
    </w:p>
    <w:p w14:paraId="6F08498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52、</w:t>
      </w:r>
      <w:r>
        <w:rPr>
          <w:rFonts w:ascii="宋体" w:hAnsi="宋体" w:cs="宋体"/>
          <w:kern w:val="0"/>
          <w:sz w:val="24"/>
          <w:szCs w:val="24"/>
        </w:rPr>
        <w:t>基金资产净值：指基金资产总值减去基金负债后的价值</w:t>
      </w:r>
    </w:p>
    <w:p w14:paraId="2BFACC1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53、</w:t>
      </w:r>
      <w:r>
        <w:rPr>
          <w:rFonts w:ascii="宋体" w:hAnsi="宋体" w:cs="宋体"/>
          <w:kern w:val="0"/>
          <w:sz w:val="24"/>
          <w:szCs w:val="24"/>
        </w:rPr>
        <w:t>基金份额净值：指计算日基金资产净值除以计算日基金份额总数</w:t>
      </w:r>
    </w:p>
    <w:p w14:paraId="4F75545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54、</w:t>
      </w:r>
      <w:r>
        <w:rPr>
          <w:rFonts w:ascii="宋体" w:hAnsi="宋体" w:cs="宋体"/>
          <w:kern w:val="0"/>
          <w:sz w:val="24"/>
          <w:szCs w:val="24"/>
        </w:rPr>
        <w:t>基金资产估值：指计算评估基金资产和负债的价值，以确定基金资产净值和基金份额净值的过程</w:t>
      </w:r>
    </w:p>
    <w:p w14:paraId="6332803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55、</w:t>
      </w:r>
      <w:r>
        <w:rPr>
          <w:rFonts w:ascii="宋体" w:hAnsi="宋体" w:cs="宋体"/>
          <w:kern w:val="0"/>
          <w:sz w:val="24"/>
          <w:szCs w:val="24"/>
        </w:rPr>
        <w:t>规定媒介：指符合中国证监会规定条件的用以进行信息披露的全国性报刊及《信息披露办法》规定的互联网网站（包括基金管理人网站、基金托管人网站、中国证监会基金电子披露网站）等媒介</w:t>
      </w:r>
    </w:p>
    <w:p w14:paraId="236D0D81" w14:textId="77777777" w:rsidR="00A71A93" w:rsidRDefault="009713AD">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56、基金份额类别：根据认购/申购费用、销售服务费收取方式等事项的不同，将基金份额分为不同的类别，各基金份额类别分别设置代码、计算公告基金份额净值和基金份额累计净值</w:t>
      </w:r>
    </w:p>
    <w:p w14:paraId="29ABD3B3" w14:textId="45808FD1" w:rsidR="00A71A93" w:rsidRDefault="009713AD">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57、A类基金份额：指在投资者</w:t>
      </w:r>
      <w:r w:rsidR="000C2F1C">
        <w:rPr>
          <w:rFonts w:hint="eastAsia"/>
          <w:bCs/>
          <w:sz w:val="24"/>
        </w:rPr>
        <w:t>通过直销机构</w:t>
      </w:r>
      <w:r w:rsidR="00A126B2">
        <w:rPr>
          <w:rFonts w:hint="eastAsia"/>
          <w:bCs/>
          <w:kern w:val="0"/>
          <w:sz w:val="24"/>
          <w:szCs w:val="24"/>
          <w:lang w:bidi="en-US"/>
        </w:rPr>
        <w:t>（含基金管理人及其销售子公司，下同）</w:t>
      </w:r>
      <w:r w:rsidR="000C2F1C">
        <w:rPr>
          <w:rFonts w:hint="eastAsia"/>
          <w:bCs/>
          <w:sz w:val="24"/>
        </w:rPr>
        <w:t>以外的其他销售机构</w:t>
      </w:r>
      <w:r>
        <w:rPr>
          <w:rStyle w:val="custom"/>
          <w:rFonts w:ascii="宋体" w:hAnsi="宋体" w:cs="宋体"/>
          <w:kern w:val="0"/>
          <w:sz w:val="24"/>
          <w:szCs w:val="24"/>
        </w:rPr>
        <w:t>认购、申购时收取认购、申购费用，在赎回时根据持有期限收取赎回费用，但不从本类别基金财产中计提销售服务费的基金份额</w:t>
      </w:r>
      <w:r w:rsidR="006B6543">
        <w:rPr>
          <w:rStyle w:val="custom"/>
          <w:rFonts w:ascii="宋体" w:hAnsi="宋体" w:cs="宋体" w:hint="eastAsia"/>
          <w:kern w:val="0"/>
          <w:sz w:val="24"/>
          <w:szCs w:val="24"/>
        </w:rPr>
        <w:t>；</w:t>
      </w:r>
      <w:r w:rsidR="006B6543">
        <w:rPr>
          <w:rFonts w:hint="eastAsia"/>
          <w:bCs/>
          <w:kern w:val="0"/>
          <w:sz w:val="24"/>
          <w:szCs w:val="24"/>
          <w:lang w:bidi="en-US"/>
        </w:rPr>
        <w:t>投资者通过直销机构认购</w:t>
      </w:r>
      <w:r w:rsidR="006B6543">
        <w:rPr>
          <w:bCs/>
          <w:kern w:val="0"/>
          <w:sz w:val="24"/>
          <w:szCs w:val="24"/>
          <w:lang w:bidi="en-US"/>
        </w:rPr>
        <w:t>/</w:t>
      </w:r>
      <w:r w:rsidR="006B6543">
        <w:rPr>
          <w:rFonts w:hint="eastAsia"/>
          <w:bCs/>
          <w:kern w:val="0"/>
          <w:sz w:val="24"/>
          <w:szCs w:val="24"/>
          <w:lang w:bidi="en-US"/>
        </w:rPr>
        <w:t>申购</w:t>
      </w:r>
      <w:r w:rsidR="006B6543">
        <w:rPr>
          <w:rFonts w:hint="eastAsia"/>
          <w:bCs/>
          <w:kern w:val="0"/>
          <w:sz w:val="24"/>
          <w:szCs w:val="24"/>
          <w:lang w:bidi="en-US"/>
        </w:rPr>
        <w:t>A</w:t>
      </w:r>
      <w:r w:rsidR="006B6543">
        <w:rPr>
          <w:rFonts w:hint="eastAsia"/>
          <w:bCs/>
          <w:kern w:val="0"/>
          <w:sz w:val="24"/>
          <w:szCs w:val="24"/>
          <w:lang w:bidi="en-US"/>
        </w:rPr>
        <w:t>类基金份额时不收取认购</w:t>
      </w:r>
      <w:r w:rsidR="006B6543">
        <w:rPr>
          <w:bCs/>
          <w:kern w:val="0"/>
          <w:sz w:val="24"/>
          <w:szCs w:val="24"/>
          <w:lang w:bidi="en-US"/>
        </w:rPr>
        <w:t>/</w:t>
      </w:r>
      <w:r w:rsidR="006B6543">
        <w:rPr>
          <w:rFonts w:hint="eastAsia"/>
          <w:bCs/>
          <w:kern w:val="0"/>
          <w:sz w:val="24"/>
          <w:szCs w:val="24"/>
          <w:lang w:bidi="en-US"/>
        </w:rPr>
        <w:t>申购费用</w:t>
      </w:r>
    </w:p>
    <w:p w14:paraId="3FE53898" w14:textId="4705490F" w:rsidR="00A71A93" w:rsidRDefault="009713AD">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58、C类基金份额：指从</w:t>
      </w:r>
      <w:r w:rsidR="006B6543">
        <w:rPr>
          <w:rFonts w:hint="eastAsia"/>
          <w:bCs/>
          <w:kern w:val="0"/>
          <w:sz w:val="24"/>
          <w:szCs w:val="24"/>
          <w:lang w:bidi="en-US"/>
        </w:rPr>
        <w:t>直销机构以外的其他销售机构保有的</w:t>
      </w:r>
      <w:r>
        <w:rPr>
          <w:rStyle w:val="custom"/>
          <w:rFonts w:ascii="宋体" w:hAnsi="宋体" w:cs="宋体"/>
          <w:kern w:val="0"/>
          <w:sz w:val="24"/>
          <w:szCs w:val="24"/>
        </w:rPr>
        <w:t>本类别基金财产中计提销售服务费而不收取认购、申购费用，在赎回时根据持有期限收取赎回费用的基金份额</w:t>
      </w:r>
      <w:r w:rsidR="006B6543" w:rsidRPr="006B6543">
        <w:rPr>
          <w:rStyle w:val="custom"/>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投资者赎回相应基金份额或基金合同终止时随赎回款或清算款一并返还给投资者</w:t>
      </w:r>
    </w:p>
    <w:p w14:paraId="57B8EC6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59、销售服务费：指从基金财产中计提的，用于本基金市场推广、销售以及基金份额持有人服务的费用</w:t>
      </w:r>
    </w:p>
    <w:p w14:paraId="6C51BBF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60、</w:t>
      </w:r>
      <w:r>
        <w:rPr>
          <w:rFonts w:ascii="宋体" w:hAnsi="宋体" w:cs="宋体"/>
          <w:kern w:val="0"/>
          <w:sz w:val="24"/>
          <w:szCs w:val="24"/>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以及法律法规或中国证监会规定的其他流动性受限资产，如</w:t>
      </w:r>
      <w:r>
        <w:rPr>
          <w:rFonts w:ascii="宋体" w:hAnsi="宋体" w:cs="宋体"/>
          <w:kern w:val="0"/>
          <w:sz w:val="24"/>
          <w:szCs w:val="24"/>
        </w:rPr>
        <w:lastRenderedPageBreak/>
        <w:t>未来法律法规变动，基金管理人在履行适当程序后，可对上述流动性受限资产范围进行调整</w:t>
      </w:r>
    </w:p>
    <w:p w14:paraId="16A5452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61、</w:t>
      </w:r>
      <w:r>
        <w:rPr>
          <w:rFonts w:ascii="宋体" w:hAnsi="宋体" w:cs="宋体"/>
          <w:kern w:val="0"/>
          <w:sz w:val="24"/>
          <w:szCs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如未来法律法规变动，基金管理人在履行适当程序后，可对前述摆动定价机制的定义进行调整</w:t>
      </w:r>
    </w:p>
    <w:p w14:paraId="5D59DEA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62、</w:t>
      </w:r>
      <w:r>
        <w:rPr>
          <w:rFonts w:ascii="宋体" w:hAnsi="宋体" w:cs="宋体"/>
          <w:kern w:val="0"/>
          <w:sz w:val="24"/>
          <w:szCs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5BBE7F95"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63、</w:t>
      </w:r>
      <w:r>
        <w:rPr>
          <w:rFonts w:ascii="宋体" w:hAnsi="宋体" w:cs="宋体"/>
          <w:kern w:val="0"/>
          <w:sz w:val="24"/>
          <w:szCs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363160B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64、转融通证券出借业务：指本基金以一定费率通过证券交易所综合业务平台向中国证券金融股份有限公司出借证券，中国证券金融股份有限公司到期归还所借证券及相应权益补偿并支付费用的业务</w:t>
      </w:r>
    </w:p>
    <w:p w14:paraId="1F57B09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65、港股通标的股票：指内地投资者委托内地证券公司，经由内地证券交易所设立的证券交易服务公司，向香港联合交易所进行申报，买卖规定范围内的香港联合交易所上市的股票</w:t>
      </w:r>
    </w:p>
    <w:p w14:paraId="021F14A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66、</w:t>
      </w:r>
      <w:r>
        <w:rPr>
          <w:rFonts w:ascii="宋体" w:hAnsi="宋体" w:cs="宋体"/>
          <w:kern w:val="0"/>
          <w:sz w:val="24"/>
          <w:szCs w:val="24"/>
        </w:rPr>
        <w:t>不可抗力：指本基金合同当事人不能预见、不能避免且不能克服的客观事件</w:t>
      </w:r>
      <w:r>
        <w:rPr>
          <w:rFonts w:ascii="宋体" w:hAnsi="宋体" w:cs="宋体"/>
          <w:kern w:val="0"/>
          <w:sz w:val="24"/>
          <w:szCs w:val="24"/>
        </w:rPr>
        <w:br w:type="page"/>
      </w:r>
    </w:p>
    <w:p w14:paraId="7D675B05" w14:textId="77777777" w:rsidR="009D63C8" w:rsidRDefault="009713AD" w:rsidP="009E26D0">
      <w:pPr>
        <w:pStyle w:val="1"/>
        <w:spacing w:before="0" w:after="0"/>
        <w:jc w:val="center"/>
        <w:rPr>
          <w:rFonts w:ascii="Times New Roman"/>
          <w:color w:val="auto"/>
          <w:sz w:val="30"/>
        </w:rPr>
      </w:pPr>
      <w:bookmarkStart w:id="42" w:name="_Toc256000002"/>
      <w:r w:rsidRPr="009E26D0">
        <w:rPr>
          <w:rFonts w:ascii="Times New Roman"/>
          <w:noProof/>
          <w:color w:val="auto"/>
          <w:sz w:val="30"/>
        </w:rPr>
        <w:lastRenderedPageBreak/>
        <w:t>第三部分</w:t>
      </w:r>
      <w:r w:rsidRPr="009E26D0">
        <w:rPr>
          <w:rFonts w:ascii="Times New Roman"/>
          <w:noProof/>
          <w:color w:val="auto"/>
          <w:sz w:val="30"/>
        </w:rPr>
        <w:t xml:space="preserve">  </w:t>
      </w:r>
      <w:r w:rsidRPr="009E26D0">
        <w:rPr>
          <w:rFonts w:ascii="Times New Roman"/>
          <w:noProof/>
          <w:color w:val="auto"/>
          <w:sz w:val="30"/>
        </w:rPr>
        <w:t>基金的基本情况</w:t>
      </w:r>
      <w:bookmarkEnd w:id="42"/>
    </w:p>
    <w:p w14:paraId="011BDCAA" w14:textId="77777777" w:rsidR="007A2B34" w:rsidRPr="0017353E" w:rsidRDefault="007A2B34" w:rsidP="0090469D"/>
    <w:p w14:paraId="24ED03F5"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基金名称</w:t>
      </w:r>
    </w:p>
    <w:p w14:paraId="33BD8933"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汇添富中证全指指数增强型证券投资基金</w:t>
      </w:r>
    </w:p>
    <w:p w14:paraId="09453B8A"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基金的类别</w:t>
      </w:r>
    </w:p>
    <w:p w14:paraId="4009DC56" w14:textId="77777777" w:rsidR="00A71A93" w:rsidRDefault="009713AD">
      <w:pPr>
        <w:pStyle w:val="div"/>
        <w:spacing w:line="360" w:lineRule="auto"/>
        <w:ind w:firstLine="480"/>
        <w:rPr>
          <w:rFonts w:eastAsia="Times New Roman"/>
          <w:kern w:val="0"/>
          <w:sz w:val="24"/>
          <w:szCs w:val="24"/>
        </w:rPr>
      </w:pPr>
      <w:r>
        <w:rPr>
          <w:rStyle w:val="custom"/>
          <w:rFonts w:ascii="宋体" w:hAnsi="宋体" w:cs="宋体"/>
          <w:kern w:val="0"/>
          <w:sz w:val="24"/>
          <w:szCs w:val="24"/>
        </w:rPr>
        <w:t>股票型证券投资基金</w:t>
      </w:r>
    </w:p>
    <w:p w14:paraId="55569E1A"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基金的运作方式</w:t>
      </w:r>
    </w:p>
    <w:p w14:paraId="76FC3F48" w14:textId="77777777" w:rsidR="00A71A93" w:rsidRDefault="009713AD">
      <w:pPr>
        <w:pStyle w:val="div"/>
        <w:spacing w:line="360" w:lineRule="auto"/>
        <w:ind w:firstLine="480"/>
        <w:rPr>
          <w:rFonts w:eastAsia="Times New Roman"/>
          <w:kern w:val="0"/>
          <w:sz w:val="24"/>
          <w:szCs w:val="24"/>
        </w:rPr>
      </w:pPr>
      <w:r>
        <w:rPr>
          <w:rStyle w:val="custom"/>
          <w:rFonts w:ascii="宋体" w:hAnsi="宋体" w:cs="宋体"/>
          <w:kern w:val="0"/>
          <w:sz w:val="24"/>
          <w:szCs w:val="24"/>
        </w:rPr>
        <w:t>契约型开放式</w:t>
      </w:r>
    </w:p>
    <w:p w14:paraId="4614A651"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基金的投资目标</w:t>
      </w:r>
    </w:p>
    <w:p w14:paraId="213D4054"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本基金为股票型指数增强基金，在对标的指数进行有效跟踪的被动投资基础上，结合增强型的主动投资，进行积极的组合管理和风险控制，力求实现超越标的指数的业绩表现，谋求基金资产的长期增值。</w:t>
      </w:r>
    </w:p>
    <w:p w14:paraId="45D9944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五、基金的标的指数</w:t>
      </w:r>
    </w:p>
    <w:p w14:paraId="4719753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中证全指指数</w:t>
      </w:r>
    </w:p>
    <w:p w14:paraId="36B3165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六、基金的最低募集份额总额</w:t>
      </w:r>
    </w:p>
    <w:p w14:paraId="0F6C495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本基金的最低募集份额总额为2亿份。</w:t>
      </w:r>
    </w:p>
    <w:p w14:paraId="48466A9E" w14:textId="77777777" w:rsidR="00A71A93" w:rsidRDefault="009713AD">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七、</w:t>
      </w:r>
      <w:r>
        <w:rPr>
          <w:rStyle w:val="custom"/>
          <w:rFonts w:ascii="宋体" w:hAnsi="宋体" w:cs="宋体"/>
          <w:kern w:val="0"/>
          <w:sz w:val="24"/>
          <w:szCs w:val="24"/>
        </w:rPr>
        <w:t>基金份额发售面值和认购费用</w:t>
      </w:r>
    </w:p>
    <w:p w14:paraId="50750B56" w14:textId="77777777" w:rsidR="00A71A93" w:rsidRDefault="009713AD">
      <w:pPr>
        <w:pStyle w:val="div"/>
        <w:spacing w:line="360" w:lineRule="auto"/>
        <w:ind w:firstLine="480"/>
        <w:rPr>
          <w:rFonts w:eastAsia="Times New Roman"/>
          <w:kern w:val="0"/>
          <w:sz w:val="24"/>
          <w:szCs w:val="24"/>
        </w:rPr>
      </w:pPr>
      <w:r>
        <w:rPr>
          <w:rStyle w:val="custom"/>
          <w:rFonts w:ascii="宋体" w:hAnsi="宋体" w:cs="宋体"/>
          <w:kern w:val="0"/>
          <w:sz w:val="24"/>
          <w:szCs w:val="24"/>
        </w:rPr>
        <w:t>本基金基金份额发售面值为人民币1.00元。</w:t>
      </w:r>
    </w:p>
    <w:p w14:paraId="3540B736" w14:textId="77777777" w:rsidR="00A71A93" w:rsidRDefault="009713AD">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本基金C类基金份额不收取认购费，A类基金份额的认购费率按招募说明书及基金产品资料概要的规定执行。</w:t>
      </w:r>
    </w:p>
    <w:p w14:paraId="0EC16BB6"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基金存续期限</w:t>
      </w:r>
    </w:p>
    <w:p w14:paraId="2D4DD778" w14:textId="77777777" w:rsidR="00A71A93" w:rsidRDefault="009713AD">
      <w:pPr>
        <w:pStyle w:val="div"/>
        <w:spacing w:line="360" w:lineRule="auto"/>
        <w:ind w:firstLine="480"/>
        <w:rPr>
          <w:rFonts w:eastAsia="Times New Roman"/>
          <w:kern w:val="0"/>
          <w:sz w:val="24"/>
          <w:szCs w:val="24"/>
        </w:rPr>
      </w:pPr>
      <w:r>
        <w:rPr>
          <w:rFonts w:ascii="宋体" w:hAnsi="宋体" w:cs="宋体"/>
          <w:kern w:val="0"/>
          <w:sz w:val="24"/>
          <w:szCs w:val="24"/>
        </w:rPr>
        <w:t>不定期</w:t>
      </w:r>
    </w:p>
    <w:p w14:paraId="1E4FF2D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九、基金份额类别设置</w:t>
      </w:r>
    </w:p>
    <w:p w14:paraId="7C239FD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本基金根据认购/申购费用、销售服务费收取方式等事项的不同，将基金份额分为不同的类别。</w:t>
      </w:r>
    </w:p>
    <w:p w14:paraId="5E70FE4B" w14:textId="77777777" w:rsidR="006B6543" w:rsidRDefault="009713AD" w:rsidP="006B6543">
      <w:pPr>
        <w:pStyle w:val="div"/>
        <w:spacing w:line="360" w:lineRule="auto"/>
        <w:ind w:firstLine="420"/>
        <w:rPr>
          <w:bCs/>
          <w:kern w:val="0"/>
          <w:sz w:val="24"/>
          <w:szCs w:val="24"/>
          <w:lang w:bidi="en-US"/>
        </w:rPr>
      </w:pPr>
      <w:r>
        <w:rPr>
          <w:rStyle w:val="custom"/>
          <w:rFonts w:eastAsia="Times New Roman"/>
          <w:kern w:val="0"/>
          <w:sz w:val="24"/>
          <w:szCs w:val="24"/>
        </w:rPr>
        <w:t>A</w:t>
      </w:r>
      <w:r>
        <w:rPr>
          <w:rStyle w:val="custom"/>
          <w:rFonts w:ascii="宋体" w:hAnsi="宋体" w:cs="宋体"/>
          <w:kern w:val="0"/>
          <w:sz w:val="24"/>
          <w:szCs w:val="24"/>
        </w:rPr>
        <w:t>类基金份额在投资者</w:t>
      </w:r>
      <w:r w:rsidR="006B6543">
        <w:rPr>
          <w:rFonts w:hint="eastAsia"/>
          <w:bCs/>
          <w:sz w:val="24"/>
        </w:rPr>
        <w:t>通过直销机构以外的其他销售机构</w:t>
      </w:r>
      <w:r>
        <w:rPr>
          <w:rStyle w:val="custom"/>
          <w:rFonts w:ascii="宋体" w:hAnsi="宋体" w:cs="宋体"/>
          <w:kern w:val="0"/>
          <w:sz w:val="24"/>
          <w:szCs w:val="24"/>
        </w:rPr>
        <w:t>认购、申购时收取认购、申购费用，在赎回时根据持有期限收取赎回费用，但不从本类别基金财产中计提销售服务费；</w:t>
      </w:r>
      <w:r w:rsidR="006B6543">
        <w:rPr>
          <w:rFonts w:hint="eastAsia"/>
          <w:bCs/>
          <w:kern w:val="0"/>
          <w:sz w:val="24"/>
          <w:szCs w:val="24"/>
          <w:lang w:bidi="en-US"/>
        </w:rPr>
        <w:t>投资者通过直销机构认购</w:t>
      </w:r>
      <w:r w:rsidR="006B6543">
        <w:rPr>
          <w:bCs/>
          <w:kern w:val="0"/>
          <w:sz w:val="24"/>
          <w:szCs w:val="24"/>
          <w:lang w:bidi="en-US"/>
        </w:rPr>
        <w:t>/</w:t>
      </w:r>
      <w:r w:rsidR="006B6543">
        <w:rPr>
          <w:rFonts w:hint="eastAsia"/>
          <w:bCs/>
          <w:kern w:val="0"/>
          <w:sz w:val="24"/>
          <w:szCs w:val="24"/>
          <w:lang w:bidi="en-US"/>
        </w:rPr>
        <w:t>申购</w:t>
      </w:r>
      <w:r w:rsidR="006B6543">
        <w:rPr>
          <w:bCs/>
          <w:kern w:val="0"/>
          <w:sz w:val="24"/>
          <w:szCs w:val="24"/>
          <w:lang w:bidi="en-US"/>
        </w:rPr>
        <w:t>A</w:t>
      </w:r>
      <w:r w:rsidR="006B6543">
        <w:rPr>
          <w:rFonts w:hint="eastAsia"/>
          <w:bCs/>
          <w:kern w:val="0"/>
          <w:sz w:val="24"/>
          <w:szCs w:val="24"/>
          <w:lang w:bidi="en-US"/>
        </w:rPr>
        <w:t>类基金份额时不收取认购</w:t>
      </w:r>
      <w:r w:rsidR="006B6543">
        <w:rPr>
          <w:bCs/>
          <w:kern w:val="0"/>
          <w:sz w:val="24"/>
          <w:szCs w:val="24"/>
          <w:lang w:bidi="en-US"/>
        </w:rPr>
        <w:t>/</w:t>
      </w:r>
      <w:r w:rsidR="006B6543">
        <w:rPr>
          <w:rFonts w:hint="eastAsia"/>
          <w:bCs/>
          <w:kern w:val="0"/>
          <w:sz w:val="24"/>
          <w:szCs w:val="24"/>
          <w:lang w:bidi="en-US"/>
        </w:rPr>
        <w:t>申购费用。</w:t>
      </w:r>
    </w:p>
    <w:p w14:paraId="7DB88386" w14:textId="42E6B858"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C类基金份额从</w:t>
      </w:r>
      <w:r w:rsidR="00C51F13">
        <w:rPr>
          <w:rFonts w:hint="eastAsia"/>
          <w:bCs/>
          <w:kern w:val="0"/>
          <w:sz w:val="24"/>
          <w:szCs w:val="24"/>
          <w:lang w:bidi="en-US"/>
        </w:rPr>
        <w:t>直销机构以外的其他销售机构保有的</w:t>
      </w:r>
      <w:r>
        <w:rPr>
          <w:rStyle w:val="custom"/>
          <w:rFonts w:ascii="宋体" w:hAnsi="宋体" w:cs="宋体"/>
          <w:kern w:val="0"/>
          <w:sz w:val="24"/>
          <w:szCs w:val="24"/>
        </w:rPr>
        <w:t>本类别基金财产中计提销售服务费而不收取认购、申购费用，在赎回时根据持有期限收取赎回费用。</w:t>
      </w:r>
      <w:r w:rsidR="00C51F13">
        <w:rPr>
          <w:rFonts w:hint="eastAsia"/>
          <w:bCs/>
          <w:kern w:val="0"/>
          <w:sz w:val="24"/>
          <w:szCs w:val="24"/>
          <w:lang w:bidi="en-US"/>
        </w:rPr>
        <w:t>其中，对于投资者通过直销机构认购</w:t>
      </w:r>
      <w:r w:rsidR="00C51F13">
        <w:rPr>
          <w:bCs/>
          <w:kern w:val="0"/>
          <w:sz w:val="24"/>
          <w:szCs w:val="24"/>
          <w:lang w:bidi="en-US"/>
        </w:rPr>
        <w:t>/</w:t>
      </w:r>
      <w:r w:rsidR="00C51F13">
        <w:rPr>
          <w:rFonts w:hint="eastAsia"/>
          <w:bCs/>
          <w:kern w:val="0"/>
          <w:sz w:val="24"/>
          <w:szCs w:val="24"/>
          <w:lang w:bidi="en-US"/>
        </w:rPr>
        <w:t>申购的</w:t>
      </w:r>
      <w:bookmarkStart w:id="43" w:name="_Hlk218688264"/>
      <w:r w:rsidR="00C51F13">
        <w:rPr>
          <w:rFonts w:hint="eastAsia"/>
          <w:bCs/>
          <w:sz w:val="24"/>
          <w:lang w:bidi="en-US"/>
        </w:rPr>
        <w:t>C</w:t>
      </w:r>
      <w:r w:rsidR="00C51F13">
        <w:rPr>
          <w:rFonts w:hint="eastAsia"/>
          <w:bCs/>
          <w:sz w:val="24"/>
          <w:lang w:bidi="en-US"/>
        </w:rPr>
        <w:t>类基金份额所计提的销售服务费</w:t>
      </w:r>
      <w:bookmarkEnd w:id="43"/>
      <w:r w:rsidR="00C51F13">
        <w:rPr>
          <w:rFonts w:hint="eastAsia"/>
          <w:bCs/>
          <w:kern w:val="0"/>
          <w:sz w:val="24"/>
          <w:szCs w:val="24"/>
          <w:lang w:bidi="en-US"/>
        </w:rPr>
        <w:t>或者通过其他销售机构认购</w:t>
      </w:r>
      <w:r w:rsidR="00C51F13">
        <w:rPr>
          <w:bCs/>
          <w:kern w:val="0"/>
          <w:sz w:val="24"/>
          <w:szCs w:val="24"/>
          <w:lang w:bidi="en-US"/>
        </w:rPr>
        <w:t>/</w:t>
      </w:r>
      <w:r w:rsidR="00C51F13">
        <w:rPr>
          <w:rFonts w:hint="eastAsia"/>
          <w:bCs/>
          <w:kern w:val="0"/>
          <w:sz w:val="24"/>
          <w:szCs w:val="24"/>
          <w:lang w:bidi="en-US"/>
        </w:rPr>
        <w:t>申购且持续持有期限超过一年（</w:t>
      </w:r>
      <w:r w:rsidR="00C51F13" w:rsidRPr="00CD09AD">
        <w:rPr>
          <w:rFonts w:hint="eastAsia"/>
          <w:bCs/>
          <w:kern w:val="0"/>
          <w:sz w:val="24"/>
          <w:szCs w:val="24"/>
          <w:lang w:bidi="en-US"/>
        </w:rPr>
        <w:t>即</w:t>
      </w:r>
      <w:r w:rsidR="00C51F13" w:rsidRPr="00CD09AD">
        <w:rPr>
          <w:rFonts w:hint="eastAsia"/>
          <w:bCs/>
          <w:kern w:val="0"/>
          <w:sz w:val="24"/>
          <w:szCs w:val="24"/>
          <w:lang w:bidi="en-US"/>
        </w:rPr>
        <w:t>365</w:t>
      </w:r>
      <w:r w:rsidR="00C51F13" w:rsidRPr="00CD09AD">
        <w:rPr>
          <w:rFonts w:hint="eastAsia"/>
          <w:bCs/>
          <w:kern w:val="0"/>
          <w:sz w:val="24"/>
          <w:szCs w:val="24"/>
          <w:lang w:bidi="en-US"/>
        </w:rPr>
        <w:t>天</w:t>
      </w:r>
      <w:r w:rsidR="00C51F13">
        <w:rPr>
          <w:rFonts w:hint="eastAsia"/>
          <w:bCs/>
          <w:kern w:val="0"/>
          <w:sz w:val="24"/>
          <w:szCs w:val="24"/>
          <w:lang w:bidi="en-US"/>
        </w:rPr>
        <w:t>）</w:t>
      </w:r>
      <w:r w:rsidR="00C51F13" w:rsidRPr="00CD09AD">
        <w:rPr>
          <w:rFonts w:hint="eastAsia"/>
          <w:bCs/>
          <w:kern w:val="0"/>
          <w:sz w:val="24"/>
          <w:szCs w:val="24"/>
          <w:lang w:bidi="en-US"/>
        </w:rPr>
        <w:t>以后继续计提</w:t>
      </w:r>
      <w:r w:rsidR="00C51F13">
        <w:rPr>
          <w:rFonts w:hint="eastAsia"/>
          <w:bCs/>
          <w:kern w:val="0"/>
          <w:sz w:val="24"/>
          <w:szCs w:val="24"/>
          <w:lang w:bidi="en-US"/>
        </w:rPr>
        <w:t>的</w:t>
      </w:r>
      <w:r w:rsidR="00C51F13">
        <w:rPr>
          <w:bCs/>
          <w:kern w:val="0"/>
          <w:sz w:val="24"/>
          <w:szCs w:val="24"/>
          <w:lang w:bidi="en-US"/>
        </w:rPr>
        <w:t>C</w:t>
      </w:r>
      <w:r w:rsidR="00C51F13">
        <w:rPr>
          <w:rFonts w:hint="eastAsia"/>
          <w:bCs/>
          <w:kern w:val="0"/>
          <w:sz w:val="24"/>
          <w:szCs w:val="24"/>
          <w:lang w:bidi="en-US"/>
        </w:rPr>
        <w:t>类基金份额销售服务费，将在投资者赎回相应基金份额或基金合同终止时随赎回款或清算款一并返还给投资者。</w:t>
      </w:r>
    </w:p>
    <w:p w14:paraId="2A9AAC5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本基金A类、C类基金份额分别设置代码。由于基金费用的不同，本基金A类、C类基金份额将分别计算基金份额净值，计算公式为计算日各类别基金资产净值除以计算日发售在外的该类别基金份额总数。</w:t>
      </w:r>
    </w:p>
    <w:p w14:paraId="0AD20E1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投资者可自行选择认购、申购的基金份额类别。有关基金份额类别的具体设置，费率水平等由基金管理人确定，并在招募说明书中公告。在不违反法律法规、基金合同的约定以及对基金份额持有人利益无实质性不利影响的情况下，经与基金托管人协商一致，在履行适当程序后基金管理人可增加、减少或调整基金份额类别设置、对基金份额分类办法及规则进行调整并在调整实施之日前依照《信息披露办法》的有关规定在规定媒介上公告，不需要召开基金份额持有人大会。</w:t>
      </w:r>
    </w:p>
    <w:p w14:paraId="3772B689" w14:textId="77777777" w:rsidR="00A71A93" w:rsidRDefault="009713AD">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十、未来条件许可情况下的基金模式转换</w:t>
      </w:r>
    </w:p>
    <w:p w14:paraId="46D1721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若本基金管理人同时管理同一标的指数的增强</w:t>
      </w:r>
      <w:r w:rsidR="00AE6103">
        <w:rPr>
          <w:rStyle w:val="custom"/>
          <w:rFonts w:ascii="宋体" w:hAnsi="宋体" w:cs="宋体" w:hint="eastAsia"/>
          <w:kern w:val="0"/>
          <w:sz w:val="24"/>
          <w:szCs w:val="24"/>
        </w:rPr>
        <w:t>策略</w:t>
      </w:r>
      <w:r>
        <w:rPr>
          <w:rStyle w:val="custom"/>
          <w:rFonts w:ascii="宋体" w:hAnsi="宋体" w:cs="宋体"/>
          <w:kern w:val="0"/>
          <w:sz w:val="24"/>
          <w:szCs w:val="24"/>
        </w:rPr>
        <w:t>交易型开放式指数基金（</w:t>
      </w:r>
      <w:r w:rsidR="00AE6103">
        <w:rPr>
          <w:rStyle w:val="custom"/>
          <w:rFonts w:ascii="宋体" w:hAnsi="宋体" w:cs="宋体" w:hint="eastAsia"/>
          <w:kern w:val="0"/>
          <w:sz w:val="24"/>
          <w:szCs w:val="24"/>
        </w:rPr>
        <w:t>增强策略</w:t>
      </w:r>
      <w:r>
        <w:rPr>
          <w:rStyle w:val="custom"/>
          <w:rFonts w:ascii="宋体" w:hAnsi="宋体" w:cs="宋体"/>
          <w:kern w:val="0"/>
          <w:sz w:val="24"/>
          <w:szCs w:val="24"/>
        </w:rPr>
        <w:t>ETF），则基金管理人在履行适当程序后可使本基金采取</w:t>
      </w:r>
      <w:r w:rsidR="00AE6103">
        <w:rPr>
          <w:rStyle w:val="custom"/>
          <w:rFonts w:ascii="宋体" w:hAnsi="宋体" w:cs="宋体" w:hint="eastAsia"/>
          <w:kern w:val="0"/>
          <w:sz w:val="24"/>
          <w:szCs w:val="24"/>
        </w:rPr>
        <w:t>增强策略</w:t>
      </w:r>
      <w:r>
        <w:rPr>
          <w:rStyle w:val="custom"/>
          <w:rFonts w:ascii="宋体" w:hAnsi="宋体" w:cs="宋体"/>
          <w:kern w:val="0"/>
          <w:sz w:val="24"/>
          <w:szCs w:val="24"/>
        </w:rPr>
        <w:t>ETF联接基金模式并相应修改《基金合同》，届时无需召开基金份额持有人大会。</w:t>
      </w:r>
      <w:r>
        <w:rPr>
          <w:rStyle w:val="custom"/>
          <w:rFonts w:ascii="宋体" w:hAnsi="宋体" w:cs="宋体"/>
          <w:kern w:val="0"/>
          <w:sz w:val="24"/>
          <w:szCs w:val="24"/>
        </w:rPr>
        <w:br w:type="page"/>
      </w:r>
    </w:p>
    <w:p w14:paraId="6C13EC9F" w14:textId="77777777" w:rsidR="009D63C8" w:rsidRDefault="009713AD" w:rsidP="009E26D0">
      <w:pPr>
        <w:pStyle w:val="1"/>
        <w:spacing w:before="0" w:after="0"/>
        <w:jc w:val="center"/>
        <w:rPr>
          <w:rFonts w:ascii="Times New Roman"/>
          <w:color w:val="auto"/>
          <w:sz w:val="30"/>
        </w:rPr>
      </w:pPr>
      <w:bookmarkStart w:id="44" w:name="_Toc256000003"/>
      <w:r w:rsidRPr="009E26D0">
        <w:rPr>
          <w:rFonts w:ascii="Times New Roman"/>
          <w:noProof/>
          <w:color w:val="auto"/>
          <w:sz w:val="30"/>
        </w:rPr>
        <w:lastRenderedPageBreak/>
        <w:t>第四部分</w:t>
      </w:r>
      <w:r w:rsidRPr="009E26D0">
        <w:rPr>
          <w:rFonts w:ascii="Times New Roman"/>
          <w:noProof/>
          <w:color w:val="auto"/>
          <w:sz w:val="30"/>
        </w:rPr>
        <w:t xml:space="preserve">  </w:t>
      </w:r>
      <w:r w:rsidRPr="009E26D0">
        <w:rPr>
          <w:rFonts w:ascii="Times New Roman"/>
          <w:noProof/>
          <w:color w:val="auto"/>
          <w:sz w:val="30"/>
        </w:rPr>
        <w:t>基金份额的发售</w:t>
      </w:r>
      <w:bookmarkEnd w:id="44"/>
    </w:p>
    <w:p w14:paraId="5369760A" w14:textId="77777777" w:rsidR="007A2B34" w:rsidRPr="0017353E" w:rsidRDefault="007A2B34" w:rsidP="0090469D"/>
    <w:p w14:paraId="0FE2353A"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一、基金份额的发售时间、发售方式、发售对象</w:t>
      </w:r>
    </w:p>
    <w:p w14:paraId="7420B281"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1、发售时间</w:t>
      </w:r>
    </w:p>
    <w:p w14:paraId="256D0729"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自基金份额发售之日起最长不得超过3个月，具体发售时间见基金份额发售公告。</w:t>
      </w:r>
    </w:p>
    <w:p w14:paraId="62B872F4"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2、发售方式</w:t>
      </w:r>
    </w:p>
    <w:p w14:paraId="591EEA4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通过各销售机构的基金销售网点公开发售，各销售机构的具体名单见基金管理人网站届时公示的基金销售机构名录。</w:t>
      </w:r>
    </w:p>
    <w:p w14:paraId="120EBEBA"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3、发售对象</w:t>
      </w:r>
    </w:p>
    <w:p w14:paraId="5AB78EA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符合法律法规规定的可投资于证券投资基金的个人投资者、机构投资者、合格境外投资者以及法律法规或中国证监会允许购买证券投资基金的其他投资人。</w:t>
      </w:r>
    </w:p>
    <w:p w14:paraId="4EE7A502"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二、基金份额的认购</w:t>
      </w:r>
    </w:p>
    <w:p w14:paraId="27B2147F"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1、认购费用</w:t>
      </w:r>
    </w:p>
    <w:p w14:paraId="75C90CA6"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本基金C类基金份额不收取认购费，A类基金份额的认购费率由基金管理人决定，并在招募说明书及基金产品资料概要中列示。基金认购费用不列入基金财产。</w:t>
      </w:r>
    </w:p>
    <w:p w14:paraId="3CF72534"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2、募集期利息的处理方式</w:t>
      </w:r>
    </w:p>
    <w:p w14:paraId="705B211E"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有效认购款项在募集期间产生的利息将折算为基金份额归基金份额持有人所有，其中利息转份额以登记机构的记录为准。</w:t>
      </w:r>
    </w:p>
    <w:p w14:paraId="731264F2"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3、基金认购份额的计算</w:t>
      </w:r>
    </w:p>
    <w:p w14:paraId="23B78B3B"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基金认购份额具体的计算方法在招募说明书中列示。</w:t>
      </w:r>
    </w:p>
    <w:p w14:paraId="53651EE3"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4、认购份额余额的处理方式</w:t>
      </w:r>
    </w:p>
    <w:p w14:paraId="695EDD1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认购份额（含利息折算的份额）的计算保留到小数点后2位，小数点2位以后的部分四舍五入，由此误差产生的收益或损失由基金财产承担。</w:t>
      </w:r>
    </w:p>
    <w:p w14:paraId="77552B33"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5、认购申请的确认</w:t>
      </w:r>
    </w:p>
    <w:p w14:paraId="19672DEE"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销售机构对认购申请的受理并不代表该申请一定成功，而仅代表销售机构确实接收到认购申请。认购申请的确认以登记机构的确认结果为准。对于认购申请及认购份额的确认情况，投资人应及时查询并妥善行使合法权利，否则，由此产</w:t>
      </w:r>
      <w:r>
        <w:rPr>
          <w:rFonts w:ascii="宋体" w:hAnsi="宋体" w:cs="宋体"/>
          <w:kern w:val="0"/>
          <w:sz w:val="24"/>
          <w:szCs w:val="24"/>
        </w:rPr>
        <w:lastRenderedPageBreak/>
        <w:t>生的任何损失由投资者自行承担。</w:t>
      </w:r>
    </w:p>
    <w:p w14:paraId="2659B43E"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三、基金份额认购金额的限制</w:t>
      </w:r>
    </w:p>
    <w:p w14:paraId="5A646B84"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1、投资人认购时，需按销售机构规定的方式全额缴款。</w:t>
      </w:r>
    </w:p>
    <w:p w14:paraId="597D7B3F"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2、基金管理人可以对每个基金交易账户的单笔最低认购金额进行限制，具体限制请参看招募说明书或相关公告。</w:t>
      </w:r>
    </w:p>
    <w:p w14:paraId="3DEE06FD"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3、基金管理人可以对募集期间的单个投资人的累计认购金额进行限制，具体限制和处理方法请参看招募说明书或相关公告。</w:t>
      </w:r>
    </w:p>
    <w:p w14:paraId="6F8EEF59"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4、基金管理人可以对募集期间的本基金募集规模设置上限。募集期内超过募集规模上限时，基金管理人可以采用比例确认或其他方式进行确认，具体办法参见基金份额发售公告或相关公告。</w:t>
      </w:r>
    </w:p>
    <w:p w14:paraId="5981288F"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5、投资人在募集期内可以多次认购基金份额，但已受理的认购申请不得撤销。</w:t>
      </w:r>
    </w:p>
    <w:p w14:paraId="4AFDE046"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6、如本基金单个投资人累计认购的基金份额数达到或者超过基金份额总数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r>
        <w:rPr>
          <w:rFonts w:ascii="宋体" w:hAnsi="宋体" w:cs="宋体"/>
          <w:kern w:val="0"/>
          <w:sz w:val="24"/>
          <w:szCs w:val="24"/>
        </w:rPr>
        <w:br w:type="page"/>
      </w:r>
    </w:p>
    <w:p w14:paraId="0891AD9B" w14:textId="77777777" w:rsidR="009D63C8" w:rsidRDefault="009713AD" w:rsidP="009E26D0">
      <w:pPr>
        <w:pStyle w:val="1"/>
        <w:spacing w:before="0" w:after="0"/>
        <w:jc w:val="center"/>
        <w:rPr>
          <w:rFonts w:ascii="Times New Roman"/>
          <w:color w:val="auto"/>
          <w:sz w:val="30"/>
        </w:rPr>
      </w:pPr>
      <w:bookmarkStart w:id="45" w:name="_Toc256000004"/>
      <w:r w:rsidRPr="009E26D0">
        <w:rPr>
          <w:rFonts w:ascii="Times New Roman"/>
          <w:noProof/>
          <w:color w:val="auto"/>
          <w:sz w:val="30"/>
        </w:rPr>
        <w:lastRenderedPageBreak/>
        <w:t>第五部分</w:t>
      </w:r>
      <w:r w:rsidRPr="009E26D0">
        <w:rPr>
          <w:rFonts w:ascii="Times New Roman"/>
          <w:noProof/>
          <w:color w:val="auto"/>
          <w:sz w:val="30"/>
        </w:rPr>
        <w:t xml:space="preserve">  </w:t>
      </w:r>
      <w:r w:rsidRPr="009E26D0">
        <w:rPr>
          <w:rFonts w:ascii="Times New Roman"/>
          <w:noProof/>
          <w:color w:val="auto"/>
          <w:sz w:val="30"/>
        </w:rPr>
        <w:t>基金备案</w:t>
      </w:r>
      <w:bookmarkEnd w:id="45"/>
    </w:p>
    <w:p w14:paraId="57BDD46C" w14:textId="77777777" w:rsidR="007A2B34" w:rsidRPr="0017353E" w:rsidRDefault="007A2B34" w:rsidP="0090469D"/>
    <w:p w14:paraId="288B0728"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一、</w:t>
      </w:r>
      <w:r>
        <w:rPr>
          <w:rStyle w:val="custom"/>
          <w:rFonts w:ascii="宋体" w:hAnsi="宋体" w:cs="宋体"/>
          <w:kern w:val="0"/>
          <w:sz w:val="24"/>
          <w:szCs w:val="24"/>
        </w:rPr>
        <w:t>基金备案的条件</w:t>
      </w:r>
    </w:p>
    <w:p w14:paraId="789E4DCA"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6C1B2A6D"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937951A"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基金合同不能生效时募集资金的处理方式</w:t>
      </w:r>
    </w:p>
    <w:p w14:paraId="145FE9E1"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如果募集期限届满，未满足基金备案条件，基金管理人应当承担下列责任：</w:t>
      </w:r>
    </w:p>
    <w:p w14:paraId="3E9C11A3"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1、以其固有财产承担因募集行为而产生的债务和费用；</w:t>
      </w:r>
    </w:p>
    <w:p w14:paraId="045D7D33"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2、在基金募集期限届满后30日内返还投资者已缴纳的款项，并加计银行同期活期存款利息；</w:t>
      </w:r>
    </w:p>
    <w:p w14:paraId="1198BEFC" w14:textId="77777777" w:rsidR="00A71A93" w:rsidRDefault="009713AD">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3、如基金募集失败，基金管理人、基金托管人及销售机构不得请求报酬。基金管理人、基金托管人和销售机构为基金募集支付之一切费用应由各方各自承担。</w:t>
      </w:r>
    </w:p>
    <w:p w14:paraId="2BE3788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基金存续期内的基金份额持有人数量和资产规模</w:t>
      </w:r>
    </w:p>
    <w:p w14:paraId="5093A89C"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14:paraId="4BB85325"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法律法规或中国证监会另有规定时，从其规定。</w:t>
      </w:r>
      <w:r>
        <w:rPr>
          <w:rStyle w:val="custom"/>
          <w:rFonts w:ascii="宋体" w:hAnsi="宋体" w:cs="宋体"/>
          <w:kern w:val="0"/>
          <w:sz w:val="24"/>
          <w:szCs w:val="24"/>
        </w:rPr>
        <w:br w:type="page"/>
      </w:r>
    </w:p>
    <w:p w14:paraId="795A908C" w14:textId="77777777" w:rsidR="009D63C8" w:rsidRDefault="009713AD" w:rsidP="009E26D0">
      <w:pPr>
        <w:pStyle w:val="1"/>
        <w:spacing w:before="0" w:after="0"/>
        <w:jc w:val="center"/>
        <w:rPr>
          <w:rFonts w:ascii="Times New Roman"/>
          <w:color w:val="auto"/>
          <w:sz w:val="30"/>
        </w:rPr>
      </w:pPr>
      <w:bookmarkStart w:id="46" w:name="_Toc256000005"/>
      <w:r w:rsidRPr="009E26D0">
        <w:rPr>
          <w:rFonts w:ascii="Times New Roman"/>
          <w:noProof/>
          <w:color w:val="auto"/>
          <w:sz w:val="30"/>
        </w:rPr>
        <w:lastRenderedPageBreak/>
        <w:t>第六部分</w:t>
      </w:r>
      <w:r w:rsidRPr="009E26D0">
        <w:rPr>
          <w:rFonts w:ascii="Times New Roman"/>
          <w:noProof/>
          <w:color w:val="auto"/>
          <w:sz w:val="30"/>
        </w:rPr>
        <w:t xml:space="preserve">  </w:t>
      </w:r>
      <w:r w:rsidRPr="009E26D0">
        <w:rPr>
          <w:rFonts w:ascii="Times New Roman"/>
          <w:noProof/>
          <w:color w:val="auto"/>
          <w:sz w:val="30"/>
        </w:rPr>
        <w:t>基金份额的申购与赎回</w:t>
      </w:r>
      <w:bookmarkEnd w:id="46"/>
    </w:p>
    <w:p w14:paraId="22685075" w14:textId="77777777" w:rsidR="007A2B34" w:rsidRPr="0017353E" w:rsidRDefault="007A2B34" w:rsidP="0090469D"/>
    <w:p w14:paraId="16E36D4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申购和赎回场所</w:t>
      </w:r>
    </w:p>
    <w:p w14:paraId="2DE2F47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的申购与赎回将通过销售机构进行。具体的销售机构将由基金管理人在招募说明书或其他相关公示中列明。基金管理人可根据情况变更或增减销售机构，并在基金管理人网站公示。基金投资者应当在销售机构办理基金销售业务的营业场所或按销售机构提供的其他方式办理基金份额的申购与赎回。若基金管理人或其指定的销售机构开通电话、传真或网上等交易方式，投资人可以通过上述方式进行申购与赎回。</w:t>
      </w:r>
    </w:p>
    <w:p w14:paraId="76C82B6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申购和赎回的开放日及时间</w:t>
      </w:r>
    </w:p>
    <w:p w14:paraId="7835E98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开放日及开放时间</w:t>
      </w:r>
    </w:p>
    <w:p w14:paraId="474CDB7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投资人在开放日办理基金份额的申购和赎回，</w:t>
      </w:r>
      <w:r>
        <w:rPr>
          <w:rFonts w:ascii="宋体" w:hAnsi="宋体" w:cs="宋体"/>
          <w:kern w:val="0"/>
          <w:sz w:val="24"/>
          <w:szCs w:val="24"/>
        </w:rPr>
        <w:t>具体办理时间为上海证券交易所、深圳证券交易所的正常交易日的交易时间</w:t>
      </w:r>
      <w:r>
        <w:rPr>
          <w:rStyle w:val="custom"/>
          <w:rFonts w:ascii="宋体" w:hAnsi="宋体" w:cs="宋体"/>
          <w:kern w:val="0"/>
          <w:sz w:val="24"/>
          <w:szCs w:val="24"/>
        </w:rPr>
        <w:t>（如遇香港联合交易所法定节假日或因其他原因暂停营业或港股通暂停交易的情形，基金管理人有权暂停办理基金份额的申购和赎回业务）</w:t>
      </w:r>
      <w:r>
        <w:rPr>
          <w:rFonts w:ascii="宋体" w:hAnsi="宋体" w:cs="宋体"/>
          <w:kern w:val="0"/>
          <w:sz w:val="24"/>
          <w:szCs w:val="24"/>
        </w:rPr>
        <w:t>，但基金管理人根据法律法规、中国证监会的要求或本基金合同的规定公告暂停申购、赎回时除外。开放日的具体业务办理时间在招募说明书或基金管理人届时发布的相关公告中载明。</w:t>
      </w:r>
    </w:p>
    <w:p w14:paraId="6A8BAAE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基金合同生效后，若出现新的证券/期货交易市场、证券/期货交易所交易时间变更、其他特殊情况或根据业务需要，基金管理人将视情况对前述开放日及开放时间进行相应的调整，但应在实施日前依照《信息披露办法》的有关规定在规定媒介上公告。</w:t>
      </w:r>
    </w:p>
    <w:p w14:paraId="0B28883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申购、赎回开始日及业务办理时间</w:t>
      </w:r>
    </w:p>
    <w:p w14:paraId="2CFE31BF"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基金管理人可根据实际情况依法决定本基金开始办理申购的具体日期，具体业务办理时间在开放申购业务的公告中规定。</w:t>
      </w:r>
    </w:p>
    <w:p w14:paraId="2EC733B8"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基金管理人自基金合同生效之日起不超过3个月开始办理赎回，具体业务办理时间在开放赎回业务的公告中规定。</w:t>
      </w:r>
    </w:p>
    <w:p w14:paraId="2B17F0B0"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在确定申购开始与赎回开始时间后，基金管理人应在申购、赎回开放日前依照《信息披露办法》的有关规定在规定媒介上公告申购与赎回的开始时间。</w:t>
      </w:r>
    </w:p>
    <w:p w14:paraId="5079576B"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基金管理人不得在基金合同约定之外的日期或者时间办理基金份额的申购、</w:t>
      </w:r>
      <w:r>
        <w:rPr>
          <w:rStyle w:val="custom"/>
          <w:rFonts w:ascii="宋体" w:hAnsi="宋体" w:cs="宋体"/>
          <w:kern w:val="0"/>
          <w:sz w:val="24"/>
          <w:szCs w:val="24"/>
        </w:rPr>
        <w:lastRenderedPageBreak/>
        <w:t>赎回或者转换。投资人在基金合同约定之外的日期和时间提出申购、赎回或转换申请且登记机构确认接受的，其基金份额申购、赎回价格为下一开放日相应类别的基金份额申购、赎回的价格。</w:t>
      </w:r>
    </w:p>
    <w:p w14:paraId="5A1B88A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申购与赎回的原则</w:t>
      </w:r>
    </w:p>
    <w:p w14:paraId="6D562DE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1、“未知价”原则，即申购、赎回价格以申请当日收市后计算的相应类别的基金份额净值为基准进行计算；</w:t>
      </w:r>
    </w:p>
    <w:p w14:paraId="1E2C02D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“金额申购、份额赎回”原则，即申购以金额申请，赎回以份额申请；</w:t>
      </w:r>
    </w:p>
    <w:p w14:paraId="19749DD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当日的申购与赎回申请可以在基金管理人规定的时间以内撤销；</w:t>
      </w:r>
    </w:p>
    <w:p w14:paraId="29D7DE0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4、赎回遵循“先进先出”原则，即按照投资人认购、申购的先后次序进行顺序赎回；</w:t>
      </w:r>
    </w:p>
    <w:p w14:paraId="596D90B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办理申购、赎回业务时，应当遵循基金份额持有人利益优先原则，确保投资者的合法权益不受损害并得到公平对待。</w:t>
      </w:r>
    </w:p>
    <w:p w14:paraId="5B5615C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基金管理人可在法律法规允许的情况下，对上述原则进行调整。基金管理人必须在新规则开始实施前依照《信息披露办法》的有关规定在规定媒介上公告。</w:t>
      </w:r>
    </w:p>
    <w:p w14:paraId="108E1D7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申购与赎回的程序</w:t>
      </w:r>
    </w:p>
    <w:p w14:paraId="370DB54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申购和赎回的申请方式</w:t>
      </w:r>
    </w:p>
    <w:p w14:paraId="23F0241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投资人必须根据销售机构规定的程序，在开放日的具体业务办理时间内提出申购或赎回的申请。投资者在提交申购申请时，须按销售机构规定的方式备足申购资金，投资者在提交赎回申请时，应确保账户内有足够的基金份额余额，否则申购、赎回申请不成立。</w:t>
      </w:r>
    </w:p>
    <w:p w14:paraId="4EA60C4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申购和赎回的款项支付</w:t>
      </w:r>
    </w:p>
    <w:p w14:paraId="5332E6C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投资人申购基金份额时，必须在规定时间前全额交付申购款项，否则所提交的申购申请不成立。投资人在规定时间前全额交付申购款项，申购成立；基金份额登记机构确认基金份额时，申购生效。</w:t>
      </w:r>
    </w:p>
    <w:p w14:paraId="62CC1CF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在提交赎回申请时，必须有足够的基金份额余额，否则所提交的赎回申请不成立。基金份额持有人递交赎回申请，赎回成立；基金份额登记机构确认赎回时，赎回生效。投资者赎回申请生效后，基金管理人将在T+7日（包括该日）内支付赎回款项。在发生巨额赎回时，款项的支付办法参照本基金合同有关条款处理。</w:t>
      </w:r>
    </w:p>
    <w:p w14:paraId="4B80CE5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遇交易所或交易市场数据传输延迟、通讯系统故障、银行数据交换系统故障</w:t>
      </w:r>
      <w:r w:rsidR="0044015A" w:rsidRPr="00F11A44">
        <w:rPr>
          <w:rFonts w:ascii="宋体" w:hAnsi="宋体" w:cs="宋体" w:hint="eastAsia"/>
          <w:sz w:val="24"/>
          <w:szCs w:val="24"/>
        </w:rPr>
        <w:t>、港股通交易系统</w:t>
      </w:r>
      <w:r w:rsidR="0044015A">
        <w:rPr>
          <w:rFonts w:ascii="宋体" w:hAnsi="宋体" w:cs="宋体" w:hint="eastAsia"/>
          <w:sz w:val="24"/>
          <w:szCs w:val="24"/>
        </w:rPr>
        <w:t>故障</w:t>
      </w:r>
      <w:r w:rsidR="0044015A" w:rsidRPr="00F11A44">
        <w:rPr>
          <w:rFonts w:ascii="宋体" w:hAnsi="宋体" w:cs="宋体" w:hint="eastAsia"/>
          <w:sz w:val="24"/>
          <w:szCs w:val="24"/>
        </w:rPr>
        <w:t>或港股通资金交收规则限制</w:t>
      </w:r>
      <w:r>
        <w:rPr>
          <w:rFonts w:ascii="宋体" w:hAnsi="宋体" w:cs="宋体"/>
          <w:kern w:val="0"/>
          <w:sz w:val="24"/>
          <w:szCs w:val="24"/>
        </w:rPr>
        <w:t>或其他非基金管理人及基金托管人所能控制的因素影响业务处理流程，则赎回款项顺延至上述情形消除后的下一个工作日划出。</w:t>
      </w:r>
    </w:p>
    <w:p w14:paraId="2778641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基金管理人可以在法律法规和基金合同允许的范围内，对上述业务办理时间进行调整，基金管理人必须在调整实施前依照《信息披露办法》的有关规定在规定媒介上公告。</w:t>
      </w:r>
    </w:p>
    <w:p w14:paraId="50A50F6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申购和赎回申请的确认</w:t>
      </w:r>
    </w:p>
    <w:p w14:paraId="674C2FE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应以交易时间结束前受理有效申购和赎回申请的当天作为申购或赎回申请日(T日)，在正常情况下，本基金登记机构在T+1日内对该交易的有效性进行确认。T日提交的有效申请，投资人应在T+2日后(包括该日)及时到销售网点柜台或以销售机构规定的其他方式查询申请的确认情况。若申购不成立或无效，则申购款项退还给投资人。</w:t>
      </w:r>
    </w:p>
    <w:p w14:paraId="70D713E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销售机构对申购、赎回申请的受理并不代表申请一定成功，而仅代表销售机构确实接收到申请。申购、赎回的确认以登记机构的确认结果为准。对于申请的确认情况，投资者应及时查询并妥善行使合法权利，否则，由此产生的任何损失由投资人自行承担。</w:t>
      </w:r>
    </w:p>
    <w:p w14:paraId="0622597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在法律法规允许的范围内，本基金管理人或登记机构可根据业务规则，对上述业务办理时间进行调整，基金管理人必须在调整实施前依照《信息披露办法》的有关规定在规定媒介上公告。</w:t>
      </w:r>
    </w:p>
    <w:p w14:paraId="6ECFAD1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申购和赎回的数量限制</w:t>
      </w:r>
    </w:p>
    <w:p w14:paraId="3030D47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基金管理人可以规定投资人首次申购和每次申购的最低金额以及每次赎回的最低份额，具体规定请参见招募说明书或相关公告。</w:t>
      </w:r>
    </w:p>
    <w:p w14:paraId="5C53327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基金管理人可以规定投资人每个基金交易账户的最低基金份额余额，具体规定请参见招募说明书或相关公告。</w:t>
      </w:r>
    </w:p>
    <w:p w14:paraId="7EC4E92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基金管理人可以规定单个投资人累计持有的基金份额上限，具体规定请参见招募说明书或相关公告。</w:t>
      </w:r>
    </w:p>
    <w:p w14:paraId="6330A3A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当接受申购申请对存量基金份额持有人利益构成潜在重大不利影响时，基金管理人应当采取设定单一投资者申购金额上限、基金规模上限或基金单日</w:t>
      </w:r>
      <w:r>
        <w:rPr>
          <w:rFonts w:ascii="宋体" w:hAnsi="宋体" w:cs="宋体"/>
          <w:kern w:val="0"/>
          <w:sz w:val="24"/>
          <w:szCs w:val="24"/>
        </w:rPr>
        <w:lastRenderedPageBreak/>
        <w:t>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5C022F1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基金管理人可在法律法规允许的情况下，调整上述规定申购金额和赎回份额的数量限制或新增基金规模控制措施。基金管理人必须在调整实施前依照《信息披露办法》的有关规定在规定媒介上公告。</w:t>
      </w:r>
    </w:p>
    <w:p w14:paraId="5AD4F91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申购和赎回的价格、费用及其用途</w:t>
      </w:r>
    </w:p>
    <w:p w14:paraId="3763E31C"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1、本基金各类基金份额净值的计算，均保留到小数点后4位，小数点后第5位四舍五入，由此产生的收益或损失由基金财产承担。T日的各类基金份额净值在当天收市后计算，并根据基金合同的约定公告。</w:t>
      </w:r>
      <w:r>
        <w:rPr>
          <w:rFonts w:ascii="宋体" w:hAnsi="宋体" w:cs="宋体"/>
          <w:kern w:val="0"/>
          <w:sz w:val="24"/>
          <w:szCs w:val="24"/>
        </w:rPr>
        <w:t>遇特殊情况，</w:t>
      </w:r>
      <w:r>
        <w:rPr>
          <w:rFonts w:ascii="宋体" w:hAnsi="宋体" w:cs="宋体"/>
          <w:color w:val="000000"/>
          <w:kern w:val="0"/>
          <w:sz w:val="24"/>
          <w:szCs w:val="24"/>
        </w:rPr>
        <w:t>经履行适当程序</w:t>
      </w:r>
      <w:r>
        <w:rPr>
          <w:rFonts w:ascii="宋体" w:hAnsi="宋体" w:cs="宋体"/>
          <w:kern w:val="0"/>
          <w:sz w:val="24"/>
          <w:szCs w:val="24"/>
        </w:rPr>
        <w:t>，可以适当延迟计算或公告。</w:t>
      </w:r>
    </w:p>
    <w:p w14:paraId="0E0C6C2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本基金A类、C类基金份额将分别计算基金份额净值。</w:t>
      </w:r>
    </w:p>
    <w:p w14:paraId="0D9E233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申购份额的计算及余额的处理方式：本基金申购份额的计算及余额的处理方式详见《招募说明书》。本基金的C类基金份额不收取申购费，A类基金份额的申购费率由基金管理人决定，并在招募说明书及基金产品资料概要中列示。申购的有效份额为净申购金额除以当日的该类基金份额净值，有效份额单位为份，上述计算结果均按四舍五入方法，保留到小数点后2位，由此产生的收益或损失由基金财产承担。</w:t>
      </w:r>
    </w:p>
    <w:p w14:paraId="06B9789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赎回金额的计算及处理方式：本基金赎回金额的计算及处理方式详见《招募说明书》。本基金的赎回费率由基金管理人决定，并在招募说明书及基金产品资料概要中列示。赎回金额为按实际确认的有效赎回份额乘以当日该类基金份额净值并扣除相应的费用，赎回金额单位为元。上述计算结果均按四舍五入方法，保留到小数点后2位，由此产生的收益或损失由基金财产承担。</w:t>
      </w:r>
    </w:p>
    <w:p w14:paraId="145394D1" w14:textId="74F2EAFA"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sidR="00C51F13">
        <w:rPr>
          <w:rFonts w:hint="eastAsia"/>
          <w:bCs/>
          <w:sz w:val="24"/>
        </w:rPr>
        <w:t>通过直销机构</w:t>
      </w:r>
      <w:r w:rsidR="00C51F13">
        <w:rPr>
          <w:rFonts w:hint="eastAsia"/>
          <w:bCs/>
          <w:kern w:val="0"/>
          <w:sz w:val="24"/>
          <w:szCs w:val="24"/>
          <w:lang w:bidi="en-US"/>
        </w:rPr>
        <w:t>以外的其他销售机构申购</w:t>
      </w:r>
      <w:r>
        <w:rPr>
          <w:rStyle w:val="custom"/>
          <w:rFonts w:ascii="宋体" w:hAnsi="宋体" w:cs="宋体"/>
          <w:kern w:val="0"/>
          <w:sz w:val="24"/>
          <w:szCs w:val="24"/>
        </w:rPr>
        <w:t>A类基金份额的</w:t>
      </w:r>
      <w:r w:rsidR="00C51F13">
        <w:rPr>
          <w:rStyle w:val="custom"/>
          <w:rFonts w:ascii="宋体" w:hAnsi="宋体" w:cs="宋体" w:hint="eastAsia"/>
          <w:kern w:val="0"/>
          <w:sz w:val="24"/>
          <w:szCs w:val="24"/>
        </w:rPr>
        <w:t>，</w:t>
      </w:r>
      <w:r>
        <w:rPr>
          <w:rStyle w:val="custom"/>
          <w:rFonts w:ascii="宋体" w:hAnsi="宋体" w:cs="宋体"/>
          <w:kern w:val="0"/>
          <w:sz w:val="24"/>
          <w:szCs w:val="24"/>
        </w:rPr>
        <w:t>申购费用由申购A类基金份额的投资人承担，不列入基金财产</w:t>
      </w:r>
      <w:r w:rsidR="002D0108">
        <w:rPr>
          <w:rStyle w:val="custom"/>
          <w:rFonts w:ascii="宋体" w:hAnsi="宋体" w:cs="宋体" w:hint="eastAsia"/>
          <w:kern w:val="0"/>
          <w:sz w:val="24"/>
          <w:szCs w:val="24"/>
        </w:rPr>
        <w:t>；</w:t>
      </w:r>
      <w:r>
        <w:rPr>
          <w:rStyle w:val="custom"/>
          <w:rFonts w:ascii="宋体" w:hAnsi="宋体" w:cs="宋体"/>
          <w:kern w:val="0"/>
          <w:sz w:val="24"/>
          <w:szCs w:val="24"/>
        </w:rPr>
        <w:t>C类基金份额不收取申购费</w:t>
      </w:r>
      <w:r w:rsidR="002D0108">
        <w:rPr>
          <w:rStyle w:val="custom"/>
          <w:rFonts w:ascii="宋体" w:hAnsi="宋体" w:cs="宋体" w:hint="eastAsia"/>
          <w:kern w:val="0"/>
          <w:sz w:val="24"/>
          <w:szCs w:val="24"/>
        </w:rPr>
        <w:t>，</w:t>
      </w:r>
      <w:r w:rsidR="002D0108">
        <w:rPr>
          <w:rFonts w:hint="eastAsia"/>
          <w:bCs/>
          <w:sz w:val="24"/>
        </w:rPr>
        <w:t>而是从</w:t>
      </w:r>
      <w:r w:rsidR="002D0108">
        <w:rPr>
          <w:rFonts w:hint="eastAsia"/>
          <w:bCs/>
          <w:kern w:val="0"/>
          <w:sz w:val="24"/>
          <w:szCs w:val="24"/>
          <w:lang w:bidi="en-US"/>
        </w:rPr>
        <w:t>直销机构以外的其他销售机构保有的</w:t>
      </w:r>
      <w:r w:rsidR="002D0108">
        <w:rPr>
          <w:rFonts w:hint="eastAsia"/>
          <w:bCs/>
          <w:sz w:val="24"/>
        </w:rPr>
        <w:t>该类别基金资产中计提销售服务费；其中，</w:t>
      </w:r>
      <w:r w:rsidR="002D0108">
        <w:rPr>
          <w:rFonts w:hint="eastAsia"/>
          <w:bCs/>
          <w:kern w:val="0"/>
          <w:sz w:val="24"/>
          <w:szCs w:val="24"/>
          <w:lang w:bidi="en-US"/>
        </w:rPr>
        <w:t>对于投资者通过直销机构认购</w:t>
      </w:r>
      <w:r w:rsidR="002D0108">
        <w:rPr>
          <w:bCs/>
          <w:kern w:val="0"/>
          <w:sz w:val="24"/>
          <w:szCs w:val="24"/>
          <w:lang w:bidi="en-US"/>
        </w:rPr>
        <w:t>/</w:t>
      </w:r>
      <w:r w:rsidR="002D0108">
        <w:rPr>
          <w:rFonts w:hint="eastAsia"/>
          <w:bCs/>
          <w:kern w:val="0"/>
          <w:sz w:val="24"/>
          <w:szCs w:val="24"/>
          <w:lang w:bidi="en-US"/>
        </w:rPr>
        <w:t>申购的</w:t>
      </w:r>
      <w:r w:rsidR="002D0108" w:rsidRPr="00CD09AD">
        <w:rPr>
          <w:rFonts w:hint="eastAsia"/>
          <w:bCs/>
          <w:kern w:val="0"/>
          <w:sz w:val="24"/>
          <w:szCs w:val="24"/>
          <w:lang w:bidi="en-US"/>
        </w:rPr>
        <w:t>C</w:t>
      </w:r>
      <w:r w:rsidR="002D0108" w:rsidRPr="00CD09AD">
        <w:rPr>
          <w:rFonts w:hint="eastAsia"/>
          <w:bCs/>
          <w:kern w:val="0"/>
          <w:sz w:val="24"/>
          <w:szCs w:val="24"/>
          <w:lang w:bidi="en-US"/>
        </w:rPr>
        <w:t>类基金份额所计提的销售服务费</w:t>
      </w:r>
      <w:r w:rsidR="002D0108">
        <w:rPr>
          <w:rFonts w:hint="eastAsia"/>
          <w:bCs/>
          <w:kern w:val="0"/>
          <w:sz w:val="24"/>
          <w:szCs w:val="24"/>
          <w:lang w:bidi="en-US"/>
        </w:rPr>
        <w:t>或者通过其他销售机构认购</w:t>
      </w:r>
      <w:r w:rsidR="002D0108">
        <w:rPr>
          <w:bCs/>
          <w:kern w:val="0"/>
          <w:sz w:val="24"/>
          <w:szCs w:val="24"/>
          <w:lang w:bidi="en-US"/>
        </w:rPr>
        <w:t>/</w:t>
      </w:r>
      <w:r w:rsidR="002D0108">
        <w:rPr>
          <w:rFonts w:hint="eastAsia"/>
          <w:bCs/>
          <w:kern w:val="0"/>
          <w:sz w:val="24"/>
          <w:szCs w:val="24"/>
          <w:lang w:bidi="en-US"/>
        </w:rPr>
        <w:t>申购且持续持有期限超过一年</w:t>
      </w:r>
      <w:bookmarkStart w:id="47" w:name="_Hlk218688781"/>
      <w:r w:rsidR="002D0108">
        <w:rPr>
          <w:rFonts w:hint="eastAsia"/>
          <w:bCs/>
          <w:kern w:val="0"/>
          <w:sz w:val="24"/>
          <w:szCs w:val="24"/>
          <w:lang w:bidi="en-US"/>
        </w:rPr>
        <w:t>（</w:t>
      </w:r>
      <w:r w:rsidR="002D0108" w:rsidRPr="00CD09AD">
        <w:rPr>
          <w:rFonts w:hint="eastAsia"/>
          <w:bCs/>
          <w:kern w:val="0"/>
          <w:sz w:val="24"/>
          <w:szCs w:val="24"/>
          <w:lang w:bidi="en-US"/>
        </w:rPr>
        <w:t>即</w:t>
      </w:r>
      <w:r w:rsidR="002D0108" w:rsidRPr="00CD09AD">
        <w:rPr>
          <w:rFonts w:hint="eastAsia"/>
          <w:bCs/>
          <w:kern w:val="0"/>
          <w:sz w:val="24"/>
          <w:szCs w:val="24"/>
          <w:lang w:bidi="en-US"/>
        </w:rPr>
        <w:t>365</w:t>
      </w:r>
      <w:r w:rsidR="002D0108" w:rsidRPr="00CD09AD">
        <w:rPr>
          <w:rFonts w:hint="eastAsia"/>
          <w:bCs/>
          <w:kern w:val="0"/>
          <w:sz w:val="24"/>
          <w:szCs w:val="24"/>
          <w:lang w:bidi="en-US"/>
        </w:rPr>
        <w:t>天</w:t>
      </w:r>
      <w:r w:rsidR="002D0108">
        <w:rPr>
          <w:rFonts w:hint="eastAsia"/>
          <w:bCs/>
          <w:kern w:val="0"/>
          <w:sz w:val="24"/>
          <w:szCs w:val="24"/>
          <w:lang w:bidi="en-US"/>
        </w:rPr>
        <w:t>）</w:t>
      </w:r>
      <w:r w:rsidR="002D0108" w:rsidRPr="00CD09AD">
        <w:rPr>
          <w:rFonts w:hint="eastAsia"/>
          <w:bCs/>
          <w:kern w:val="0"/>
          <w:sz w:val="24"/>
          <w:szCs w:val="24"/>
          <w:lang w:bidi="en-US"/>
        </w:rPr>
        <w:t>以后继续计提</w:t>
      </w:r>
      <w:bookmarkEnd w:id="47"/>
      <w:r w:rsidR="002D0108">
        <w:rPr>
          <w:rFonts w:hint="eastAsia"/>
          <w:bCs/>
          <w:kern w:val="0"/>
          <w:sz w:val="24"/>
          <w:szCs w:val="24"/>
          <w:lang w:bidi="en-US"/>
        </w:rPr>
        <w:t>的</w:t>
      </w:r>
      <w:r w:rsidR="002D0108">
        <w:rPr>
          <w:bCs/>
          <w:kern w:val="0"/>
          <w:sz w:val="24"/>
          <w:szCs w:val="24"/>
          <w:lang w:bidi="en-US"/>
        </w:rPr>
        <w:t>C</w:t>
      </w:r>
      <w:r w:rsidR="002D0108">
        <w:rPr>
          <w:rFonts w:hint="eastAsia"/>
          <w:bCs/>
          <w:kern w:val="0"/>
          <w:sz w:val="24"/>
          <w:szCs w:val="24"/>
          <w:lang w:bidi="en-US"/>
        </w:rPr>
        <w:t>类基金份额销售服务费，将在投资者赎回相应基金份额时随赎回款</w:t>
      </w:r>
      <w:r w:rsidR="002D0108">
        <w:rPr>
          <w:rFonts w:hint="eastAsia"/>
          <w:bCs/>
          <w:kern w:val="0"/>
          <w:sz w:val="24"/>
          <w:szCs w:val="24"/>
          <w:lang w:bidi="en-US"/>
        </w:rPr>
        <w:lastRenderedPageBreak/>
        <w:t>一并返还给投资者</w:t>
      </w:r>
      <w:r>
        <w:rPr>
          <w:rStyle w:val="custom"/>
          <w:rFonts w:ascii="宋体" w:hAnsi="宋体" w:cs="宋体"/>
          <w:kern w:val="0"/>
          <w:sz w:val="24"/>
          <w:szCs w:val="24"/>
        </w:rPr>
        <w:t>。</w:t>
      </w:r>
    </w:p>
    <w:p w14:paraId="6580E19A" w14:textId="6098FF3A" w:rsidR="00A71A93" w:rsidRDefault="009713AD">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5、赎回费用由赎回基金份额的基金份额持有人承担，在基金份额持有人赎回基金份额时收取。赎回费用全额计入基金财产。</w:t>
      </w:r>
    </w:p>
    <w:p w14:paraId="1C5BBC5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0654546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当本基金发生大额申购或赎回情形时，基金管理人可以采用摆动定价机制，以确保基金估值的公平性。具体处理原则与操作规范遵循相关法律法规以及监管部门、自律规则的规定。基金管理人依照《信息披露办法》的有关规定，将摆动定价机制的具体操作规则在规定媒介上公告。</w:t>
      </w:r>
    </w:p>
    <w:p w14:paraId="6C37D41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管理人可以在不违反法律法规规定及基金合同约定的情形下根据市场情况制定基金促销计划，定期或不定期地开展基金促销活动。在基金促销活动期间，在对存量基金份额持有人利益无实质性不利影响的前提下，按相关监管部门要求履行必要手续后，基金管理人可以适当调低基金销售费率。</w:t>
      </w:r>
    </w:p>
    <w:p w14:paraId="34D0E8F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拒绝或暂停申购的情形</w:t>
      </w:r>
    </w:p>
    <w:p w14:paraId="4D86784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发生下列情况时，基金管理人可拒绝或暂停接受投资人的申购申请：</w:t>
      </w:r>
    </w:p>
    <w:p w14:paraId="3AC194F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因不可抗力导致基金无法正常运作或者因不可抗力导致基金管理人无法接受投资人的申购申请。</w:t>
      </w:r>
    </w:p>
    <w:p w14:paraId="2F7B7DC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发生基金合同规定的暂停基金资产估值情况时，基金管理人可暂停接受投资人的申购申请。</w:t>
      </w:r>
    </w:p>
    <w:p w14:paraId="2F95E74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3、证券/期货交易所交易时间非正常停市，导致基金管理人无法计算当日基金资产净值。</w:t>
      </w:r>
    </w:p>
    <w:p w14:paraId="24D7804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接受某笔或某些申购申请可能会影响或损害现有基金份额持有人利益时。</w:t>
      </w:r>
    </w:p>
    <w:p w14:paraId="7A607D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基金资产规模过大，使基金管理人无法找到合适的投资品种，或其他可能对基金业绩产生负面影响，或发生其他损害现有基金份额持有人利益的情形。</w:t>
      </w:r>
    </w:p>
    <w:p w14:paraId="62C9FE0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6、</w:t>
      </w:r>
      <w:r>
        <w:rPr>
          <w:rFonts w:ascii="宋体" w:hAnsi="宋体" w:cs="宋体"/>
          <w:kern w:val="0"/>
          <w:sz w:val="24"/>
          <w:szCs w:val="24"/>
        </w:rPr>
        <w:t>当前一估值日基金资产净值50%以上的资产出现无可参考的活跃市场价格且采用估值技术仍导致公允价值存在重大不确定性时，经与基金托管人协商确认后，基金管理人应当暂停接受基金申购申请。</w:t>
      </w:r>
    </w:p>
    <w:p w14:paraId="7A230B8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申请超过基金管理人设定的基金总规模、单日申购金额上限、单日净申购比例上限、单个投资者累计持有份额上限、单个投资者单日或单笔申购金额上限的。</w:t>
      </w:r>
    </w:p>
    <w:p w14:paraId="2D7F75E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8、基金管理人接受某笔或者某些申购申请有可能导致单一投资者持有基金份额的比例达到或者超过50%，或者变相规避50%集中度的情形。</w:t>
      </w:r>
    </w:p>
    <w:p w14:paraId="0DDB93B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基金管理人、基金托管人、基金销售机构、登记机构、支付结算机构等因异常情况导致基金销售系统、基金销售支付结算系统、基金登记结算系统、基金会计系统无法正常运行。</w:t>
      </w:r>
    </w:p>
    <w:p w14:paraId="3BBE70B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10、指数编制机构或指数发布机构因异常情况使指数数据无法正常计算、计算错误或发布异常时。</w:t>
      </w:r>
    </w:p>
    <w:p w14:paraId="13F67D1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11、基金参与港股通交易且港股通交易每日额度不足。</w:t>
      </w:r>
    </w:p>
    <w:p w14:paraId="72298AB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法律法规规定或中国证监会认定的其他情形。</w:t>
      </w:r>
    </w:p>
    <w:p w14:paraId="3EBB3A2A" w14:textId="77777777" w:rsidR="00A71A93" w:rsidRDefault="009713AD">
      <w:pPr>
        <w:pStyle w:val="div"/>
        <w:widowControl/>
        <w:spacing w:line="360" w:lineRule="auto"/>
        <w:ind w:firstLine="480"/>
        <w:jc w:val="left"/>
        <w:rPr>
          <w:rFonts w:eastAsia="Times New Roman"/>
          <w:kern w:val="0"/>
          <w:sz w:val="24"/>
          <w:szCs w:val="24"/>
        </w:rPr>
      </w:pPr>
      <w:r>
        <w:rPr>
          <w:rStyle w:val="custom"/>
          <w:rFonts w:ascii="宋体" w:hAnsi="宋体" w:cs="宋体"/>
          <w:kern w:val="0"/>
          <w:sz w:val="24"/>
          <w:szCs w:val="24"/>
        </w:rPr>
        <w:t>发生除上述第4、7、8项暂停申购情形之一</w:t>
      </w:r>
      <w:r>
        <w:rPr>
          <w:rFonts w:ascii="宋体" w:hAnsi="宋体" w:cs="宋体"/>
          <w:kern w:val="0"/>
          <w:sz w:val="24"/>
          <w:szCs w:val="24"/>
        </w:rPr>
        <w:t>且基金管理人决定暂停接受投资人申购申请时，基金管理人应当根据有关规定在规定媒介上刊登暂停申购公告。如果投资人的申购申请被全部或部分拒绝的，被拒绝的申购款项将退还给投资人。</w:t>
      </w:r>
      <w:r>
        <w:rPr>
          <w:rStyle w:val="custom"/>
          <w:rFonts w:ascii="宋体" w:hAnsi="宋体" w:cs="宋体"/>
          <w:kern w:val="0"/>
          <w:sz w:val="24"/>
          <w:szCs w:val="24"/>
        </w:rPr>
        <w:t>在暂停申购的情况消除时，基金管理人应及时恢复申购业务的办理。</w:t>
      </w:r>
    </w:p>
    <w:p w14:paraId="2FB3333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暂停赎回或延缓支付赎回款项的情形</w:t>
      </w:r>
    </w:p>
    <w:p w14:paraId="08C0127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发生下列情形时，基金管理人可暂停接受投资人的赎回申请或延缓支付赎回款项：</w:t>
      </w:r>
    </w:p>
    <w:p w14:paraId="4B91C23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因不可抗力导致基金管理人不能支付赎回款项。</w:t>
      </w:r>
    </w:p>
    <w:p w14:paraId="31D38C8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发生基金合同规定的暂停基金资产估值情况时，基金管理人可暂停接受投资人的赎回申请或延缓支付赎回款项。</w:t>
      </w:r>
    </w:p>
    <w:p w14:paraId="1BC399E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3、证券/期货交易所交易时间非正常停市，导致基金管理人无法计算当日基金资产净值。</w:t>
      </w:r>
    </w:p>
    <w:p w14:paraId="39F4BC0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4、连续两个或两个以上开放日发生巨额赎回。</w:t>
      </w:r>
    </w:p>
    <w:p w14:paraId="7CDDB1A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发生继续接受赎回申请将损害现有基金份额持有人利益的情形时，基金</w:t>
      </w:r>
      <w:r>
        <w:rPr>
          <w:rFonts w:ascii="宋体" w:hAnsi="宋体" w:cs="宋体"/>
          <w:kern w:val="0"/>
          <w:sz w:val="24"/>
          <w:szCs w:val="24"/>
        </w:rPr>
        <w:lastRenderedPageBreak/>
        <w:t>管理人可暂停接受基金份额持有人的赎回申请。</w:t>
      </w:r>
    </w:p>
    <w:p w14:paraId="5FF5497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14:paraId="600FD5A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法律法规规定或中国证监会认定的其他情形。</w:t>
      </w:r>
    </w:p>
    <w:p w14:paraId="5A848B29"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发生上述情形之一且基金管理人决定暂停赎回或延缓支付赎回款项时，基金管理人应在当日报中国证监会备案，已确认的赎回申请，基金管理人应足额支付；</w:t>
      </w:r>
      <w:r>
        <w:rPr>
          <w:rStyle w:val="custom"/>
          <w:rFonts w:ascii="宋体" w:hAnsi="宋体" w:cs="宋体"/>
          <w:kern w:val="0"/>
          <w:sz w:val="24"/>
          <w:szCs w:val="24"/>
        </w:rPr>
        <w:t>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29DB8AC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巨额赎回的情形及处理方式</w:t>
      </w:r>
    </w:p>
    <w:p w14:paraId="6667907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巨额赎回的认定</w:t>
      </w:r>
    </w:p>
    <w:p w14:paraId="2E1E0A76"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若本基金单个开放日内的基金份额净赎回申请(赎回申请份额总数加上基金转换中转出申请份额总数后扣除申购申请份额总数及基金转换中转入申请份额总数后的余额，不同类别份额合并计算）超过前一开放日的基金总份额的10%，即认为是发生了巨额赎回。</w:t>
      </w:r>
    </w:p>
    <w:p w14:paraId="5184138D"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2、巨额赎回的处理方式</w:t>
      </w:r>
    </w:p>
    <w:p w14:paraId="52EEFB63"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当基金出现巨额赎回时，基金管理人可以根据基金当时的资产组合状况决定全额赎回或部分延期赎回。</w:t>
      </w:r>
    </w:p>
    <w:p w14:paraId="352EE5C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全额赎回：当基金管理人认为有能力支付投资人的全部赎回申请时，按正常赎回程序执行。</w:t>
      </w:r>
    </w:p>
    <w:p w14:paraId="6331AA7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w:t>
      </w:r>
      <w:r>
        <w:rPr>
          <w:rStyle w:val="custom"/>
          <w:rFonts w:ascii="宋体" w:hAnsi="宋体" w:cs="宋体"/>
          <w:kern w:val="0"/>
          <w:sz w:val="24"/>
          <w:szCs w:val="24"/>
        </w:rPr>
        <w:lastRenderedPageBreak/>
        <w:t>动转入下一个开放日继续赎回，直到全部赎回为止；选择取消赎回的，当日未获受理的部分赎回申请将被撤销。</w:t>
      </w:r>
    </w:p>
    <w:p w14:paraId="03660A74"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延期的赎回申请与下一开放日赎回申请一并处理，无优先权并以下一开放日的该类基金份额净值为基础计算赎回金额，以此类推，直到全部赎回为止。</w:t>
      </w:r>
    </w:p>
    <w:p w14:paraId="7CABA87A"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如投资人在提交赎回申请时未作明确选择，投资人未能赎回部分作自动延期赎回处理。</w:t>
      </w:r>
    </w:p>
    <w:p w14:paraId="606B5431" w14:textId="77777777" w:rsidR="00A71A93" w:rsidRPr="0068377D"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w:t>
      </w:r>
      <w:r w:rsidRPr="0068377D">
        <w:rPr>
          <w:rStyle w:val="custom"/>
          <w:rFonts w:ascii="宋体" w:hAnsi="宋体" w:cs="宋体"/>
          <w:bCs/>
          <w:kern w:val="0"/>
          <w:sz w:val="24"/>
          <w:szCs w:val="24"/>
        </w:rPr>
        <w:t>如发生单个开放日内单个基金份额持有人申请赎回的基金份额超过前一开放日的基金总份额的30%时，本基金管理人可以对该单个基金份额持有人超过30%比例的赎回申请实施延期办理。</w:t>
      </w:r>
    </w:p>
    <w:p w14:paraId="1089D00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该单个基金份额持有人不超过30%比例的赎回申请，与当日其他赎回申请一起，按上述（1）、（2）方式处理。如下一开放日，该单一基金份额持有人剩余未赎回部分仍旧超出前一开放日基金总份额的30%时，继续按前述规则处理，直至该单一基金份额持有人单个开放日内申请赎回的基金份额占前一开放日基金总份额的比例低于30%。</w:t>
      </w:r>
    </w:p>
    <w:p w14:paraId="11FDF8BB"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基金管理人在履行适当程序后，有权根据当时市场环境调整前述比例及处理规则，并在规定媒介上进行公告。</w:t>
      </w:r>
    </w:p>
    <w:p w14:paraId="573BD82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暂停赎回：连续2个开放日以上(含本数)发生巨额赎回，如基金管理人认为有必要，可暂停接受基金的赎回申请；已经接受的赎回申请可以延缓支付赎回款项，但不得超过20个工作日，并应当在规定媒介上进行公告。</w:t>
      </w:r>
    </w:p>
    <w:p w14:paraId="2DE02F2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3、巨额赎回的公告</w:t>
      </w:r>
    </w:p>
    <w:p w14:paraId="0C7EB77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当发生上述巨额赎回并延期办理时，基金管理人应当通过邮寄、传真或者招募说明书规定的其他方式在3个交易日内通知基金份额持有人，说明有关处理方法，并在2日内在规定媒介上刊登公告。</w:t>
      </w:r>
    </w:p>
    <w:p w14:paraId="74518CE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暂停申购或赎回的公告和重新开放申购或赎回的公告</w:t>
      </w:r>
    </w:p>
    <w:p w14:paraId="77973BA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发生上述暂停申购或赎回情况的，基金管理人应在规定期限内在规定媒介上刊登暂停公告。</w:t>
      </w:r>
    </w:p>
    <w:p w14:paraId="7FD774D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可以根据暂停申购或赎回的时间，依照《信息披露办法》的有关规定，最迟于重新开放日在规定媒介刊登重新开放申购或赎回的公告；也可以根据实际情况在暂停公告中明确重新开放申购或赎回的时间，届时可不再</w:t>
      </w:r>
      <w:r>
        <w:rPr>
          <w:rFonts w:ascii="宋体" w:hAnsi="宋体" w:cs="宋体"/>
          <w:kern w:val="0"/>
          <w:sz w:val="24"/>
          <w:szCs w:val="24"/>
        </w:rPr>
        <w:lastRenderedPageBreak/>
        <w:t>另行发布重新开放的公告。</w:t>
      </w:r>
    </w:p>
    <w:p w14:paraId="07AB395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十一、</w:t>
      </w:r>
      <w:r>
        <w:rPr>
          <w:rFonts w:ascii="宋体" w:hAnsi="宋体" w:cs="宋体"/>
          <w:kern w:val="0"/>
          <w:sz w:val="24"/>
          <w:szCs w:val="24"/>
        </w:rPr>
        <w:t>基金转换</w:t>
      </w:r>
    </w:p>
    <w:p w14:paraId="4EC3D6E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4A19733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十二、</w:t>
      </w:r>
      <w:r>
        <w:rPr>
          <w:rFonts w:ascii="宋体" w:hAnsi="宋体" w:cs="宋体"/>
          <w:kern w:val="0"/>
          <w:sz w:val="24"/>
          <w:szCs w:val="24"/>
        </w:rPr>
        <w:t>基金份额的转让</w:t>
      </w:r>
    </w:p>
    <w:p w14:paraId="4D66613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在法律法规允许且条件具备的情况下，且对基金份额持有人无实质性不利影响的前提下，履行相关程序后，基金管理人可受理基金份额持有人通过中国证监会认可的交易场所或者交易方式进行基金份额转让的申请并由登记机构办理基金份额的过户登记。基金管理人拟受理基金份额转让业务的，将提前公告，基金份额持有人应根据基金管理人公告的业务规则办理基金份额转让业务。</w:t>
      </w:r>
    </w:p>
    <w:p w14:paraId="6BAB8EE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十三、</w:t>
      </w:r>
      <w:r>
        <w:rPr>
          <w:rFonts w:ascii="宋体" w:hAnsi="宋体" w:cs="宋体"/>
          <w:kern w:val="0"/>
          <w:sz w:val="24"/>
          <w:szCs w:val="24"/>
        </w:rPr>
        <w:t>基金的非交易过户</w:t>
      </w:r>
    </w:p>
    <w:p w14:paraId="2F974383"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的非交易过户是指基金登记机构受理继承、捐赠和司法强制执行等情形而产生的非交易过户以及登记机构认可、符合法律法规的其它非交易过户或者按照相关法律法规或国家有权机关要求的方式进行处理的行为。无论在上述何种情况下，接受划转的主体必须是依法可以持有本基金基金份额的投资人。</w:t>
      </w:r>
    </w:p>
    <w:p w14:paraId="5905C69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4DA06C1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十四、</w:t>
      </w:r>
      <w:r>
        <w:rPr>
          <w:rFonts w:ascii="宋体" w:hAnsi="宋体" w:cs="宋体"/>
          <w:kern w:val="0"/>
          <w:sz w:val="24"/>
          <w:szCs w:val="24"/>
        </w:rPr>
        <w:t>基金的转托管</w:t>
      </w:r>
    </w:p>
    <w:p w14:paraId="1E5EA085"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基金份额持有人可办理已持有基金份额在不同销售机构之间的转托管，基金销售机构可以按照规定的标准收取转托管费。</w:t>
      </w:r>
    </w:p>
    <w:p w14:paraId="2F40C7B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十五、</w:t>
      </w:r>
      <w:r>
        <w:rPr>
          <w:rFonts w:ascii="宋体" w:hAnsi="宋体" w:cs="宋体"/>
          <w:kern w:val="0"/>
          <w:sz w:val="24"/>
          <w:szCs w:val="24"/>
        </w:rPr>
        <w:t>定期定额投资计划</w:t>
      </w:r>
    </w:p>
    <w:p w14:paraId="633A7033"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基金管理人可以为投资人办理定期定额投资计划，具体规则由基金管理人在届时发布的公告或更新的招募说明书中确定。投资人在办理定期定额投资计划时</w:t>
      </w:r>
      <w:r>
        <w:rPr>
          <w:rFonts w:ascii="宋体" w:hAnsi="宋体" w:cs="宋体"/>
          <w:kern w:val="0"/>
          <w:sz w:val="24"/>
          <w:szCs w:val="24"/>
        </w:rPr>
        <w:lastRenderedPageBreak/>
        <w:t>可自行约定每期扣款金额，每期扣款金额必须不低于基金管理人在相关公告或更新的招募说明书中所规定的定期定额投资计划最低申购金额。</w:t>
      </w:r>
    </w:p>
    <w:p w14:paraId="53EF419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十六、</w:t>
      </w:r>
      <w:r>
        <w:rPr>
          <w:rFonts w:ascii="宋体" w:hAnsi="宋体" w:cs="宋体"/>
          <w:kern w:val="0"/>
          <w:sz w:val="24"/>
          <w:szCs w:val="24"/>
        </w:rPr>
        <w:t>基金份额的冻结和解冻</w:t>
      </w:r>
    </w:p>
    <w:p w14:paraId="1CB55C9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基金登记机构只受理国家有权机关依法要求的基金份额的冻结与解冻，以及登记机构认可、符合法律法规的其他情况下的冻结与解冻。</w:t>
      </w:r>
    </w:p>
    <w:p w14:paraId="74ADA893"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基金份额被冻结的，被冻结部分产生的权益一并冻结，被冻结部分份额仍然参与收益分配。法律法规或监管机构另有规定的除外。</w:t>
      </w:r>
    </w:p>
    <w:p w14:paraId="4529178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十七、</w:t>
      </w:r>
      <w:r>
        <w:rPr>
          <w:rFonts w:ascii="宋体" w:hAnsi="宋体" w:cs="宋体"/>
          <w:kern w:val="0"/>
          <w:sz w:val="24"/>
          <w:szCs w:val="24"/>
        </w:rPr>
        <w:t>实施侧袋机制期间本基金的申购与赎回</w:t>
      </w:r>
    </w:p>
    <w:p w14:paraId="54793159"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本基金实施侧袋机制的，本基金的申购和赎回安排详见招募说明书或相关公告。</w:t>
      </w:r>
    </w:p>
    <w:p w14:paraId="4866F4D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十八、</w:t>
      </w:r>
      <w:r>
        <w:rPr>
          <w:rFonts w:ascii="宋体" w:hAnsi="宋体" w:cs="宋体"/>
          <w:kern w:val="0"/>
          <w:sz w:val="24"/>
          <w:szCs w:val="24"/>
        </w:rPr>
        <w:t>如相关法律法规允许基金管理人办理基金份额的质押业务或其他基金业务，基金管理人将制定和实施相应的业务规则。</w:t>
      </w:r>
    </w:p>
    <w:p w14:paraId="30CC410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十九、</w:t>
      </w:r>
      <w:r>
        <w:rPr>
          <w:rFonts w:ascii="宋体" w:hAnsi="宋体" w:cs="宋体"/>
          <w:kern w:val="0"/>
          <w:sz w:val="24"/>
          <w:szCs w:val="24"/>
        </w:rPr>
        <w:t>基金管理人可在法律法规允许的范围内，在不影响基金份额持有人实质利益的前提下，根据市场情况对上述申购和赎回的安排进行补充和调整并提前公告。</w:t>
      </w:r>
      <w:r>
        <w:rPr>
          <w:rFonts w:ascii="宋体" w:hAnsi="宋体" w:cs="宋体"/>
          <w:kern w:val="0"/>
          <w:sz w:val="24"/>
          <w:szCs w:val="24"/>
        </w:rPr>
        <w:br w:type="page"/>
      </w:r>
    </w:p>
    <w:p w14:paraId="26E6E68F" w14:textId="77777777" w:rsidR="009D63C8" w:rsidRDefault="009713AD" w:rsidP="009E26D0">
      <w:pPr>
        <w:pStyle w:val="1"/>
        <w:spacing w:before="0" w:after="0"/>
        <w:jc w:val="center"/>
        <w:rPr>
          <w:rFonts w:ascii="Times New Roman"/>
          <w:color w:val="auto"/>
          <w:sz w:val="30"/>
        </w:rPr>
      </w:pPr>
      <w:bookmarkStart w:id="48" w:name="_Toc256000006"/>
      <w:r w:rsidRPr="009E26D0">
        <w:rPr>
          <w:rFonts w:ascii="Times New Roman"/>
          <w:noProof/>
          <w:color w:val="auto"/>
          <w:sz w:val="30"/>
        </w:rPr>
        <w:lastRenderedPageBreak/>
        <w:t>第七部分</w:t>
      </w:r>
      <w:r w:rsidRPr="009E26D0">
        <w:rPr>
          <w:rFonts w:ascii="Times New Roman"/>
          <w:noProof/>
          <w:color w:val="auto"/>
          <w:sz w:val="30"/>
        </w:rPr>
        <w:t xml:space="preserve">  </w:t>
      </w:r>
      <w:r w:rsidRPr="009E26D0">
        <w:rPr>
          <w:rFonts w:ascii="Times New Roman"/>
          <w:noProof/>
          <w:color w:val="auto"/>
          <w:sz w:val="30"/>
        </w:rPr>
        <w:t>基金合同当事人及权利义务</w:t>
      </w:r>
      <w:bookmarkEnd w:id="48"/>
    </w:p>
    <w:p w14:paraId="0327C6F5" w14:textId="77777777" w:rsidR="007A2B34" w:rsidRPr="0017353E" w:rsidRDefault="007A2B34" w:rsidP="0090469D"/>
    <w:p w14:paraId="280851A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w:t>
      </w:r>
    </w:p>
    <w:p w14:paraId="6231A42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基金管理人简况</w:t>
      </w:r>
    </w:p>
    <w:p w14:paraId="2572476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名称：汇添富基金管理股份有限公司</w:t>
      </w:r>
    </w:p>
    <w:p w14:paraId="2C2A03D9" w14:textId="63DE1385"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住所：</w:t>
      </w:r>
      <w:r w:rsidR="004B3B51" w:rsidRPr="004B3B51">
        <w:rPr>
          <w:rFonts w:ascii="宋体" w:hAnsi="宋体" w:cs="宋体" w:hint="eastAsia"/>
          <w:kern w:val="0"/>
          <w:sz w:val="24"/>
          <w:szCs w:val="24"/>
        </w:rPr>
        <w:t>上海市黄浦区外马路728号9楼</w:t>
      </w:r>
    </w:p>
    <w:p w14:paraId="62E275F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法定代表人：</w:t>
      </w:r>
      <w:r w:rsidR="00C03454">
        <w:rPr>
          <w:rFonts w:ascii="宋体" w:hAnsi="宋体" w:cs="宋体" w:hint="eastAsia"/>
          <w:kern w:val="0"/>
          <w:sz w:val="24"/>
          <w:szCs w:val="24"/>
        </w:rPr>
        <w:t>鲁伟铭</w:t>
      </w:r>
    </w:p>
    <w:p w14:paraId="24D498A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设立日期：2005年2月3日</w:t>
      </w:r>
    </w:p>
    <w:p w14:paraId="0AF0947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批准设立机关及批准设立文号：中国证监会证监基金字【2005】5号</w:t>
      </w:r>
    </w:p>
    <w:p w14:paraId="4A7D28C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组织形式：股份有限公司</w:t>
      </w:r>
    </w:p>
    <w:p w14:paraId="3E91F199"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注册资本：人民币132,724,224元</w:t>
      </w:r>
    </w:p>
    <w:p w14:paraId="7FEE40D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存续期限：持续经营</w:t>
      </w:r>
    </w:p>
    <w:p w14:paraId="723B46A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联系电话：（021）28932888</w:t>
      </w:r>
    </w:p>
    <w:p w14:paraId="67129C4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基金管理人的权利与义务</w:t>
      </w:r>
    </w:p>
    <w:p w14:paraId="50025CB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根据《基金法》、《运作办法》及其他有关规定，基金管理人的权利包括但不限于：</w:t>
      </w:r>
    </w:p>
    <w:p w14:paraId="05AC655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依法募集资金；</w:t>
      </w:r>
    </w:p>
    <w:p w14:paraId="41B7F08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自《基金合同》生效之日起，根据法律法规和《基金合同》独立运用并管理基金财产；</w:t>
      </w:r>
    </w:p>
    <w:p w14:paraId="4892460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依照《基金合同》收取基金管理费以及法律法规规定或中国证监会批准的其他费用；</w:t>
      </w:r>
    </w:p>
    <w:p w14:paraId="2E963B9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销售基金份额；</w:t>
      </w:r>
    </w:p>
    <w:p w14:paraId="5479B62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按照规定召集基金份额持有人大会；</w:t>
      </w:r>
    </w:p>
    <w:p w14:paraId="5C4EA26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4FB9434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在基金托管人更换时，提名新的基金托管人；</w:t>
      </w:r>
    </w:p>
    <w:p w14:paraId="1155D56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选择、更换基金销售机构，对基金销售机构的相关行为进行监督和处理；</w:t>
      </w:r>
    </w:p>
    <w:p w14:paraId="24E9950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（9）</w:t>
      </w:r>
      <w:r>
        <w:rPr>
          <w:rFonts w:ascii="宋体" w:hAnsi="宋体" w:cs="宋体"/>
          <w:kern w:val="0"/>
          <w:sz w:val="24"/>
          <w:szCs w:val="24"/>
        </w:rPr>
        <w:t>担任或委托其他符合条件的机构担任基金登记机构办理基金登记业务并获得《基金合同》规定的费用；</w:t>
      </w:r>
    </w:p>
    <w:p w14:paraId="3006427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依据《基金合同》及有关法律规定决定基金收益的分配方案；</w:t>
      </w:r>
    </w:p>
    <w:p w14:paraId="7B30E02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在《基金合同》约定的范围内，拒绝或暂停受理申购与赎回申请；</w:t>
      </w:r>
    </w:p>
    <w:p w14:paraId="1D13AA2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（12）依照法律法规为基金的利益对被投资公司行使股东权利，为基金的利益行使因基金财产投资于证券所产生的权利；</w:t>
      </w:r>
    </w:p>
    <w:p w14:paraId="16739BB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（13）在法律法规允许的前提下，为基金的利益依法为基金进行融资及转融通证券出借业务；</w:t>
      </w:r>
    </w:p>
    <w:p w14:paraId="6C29BDD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以基金管理人的名义，代表基金份额持有人的利益行使诉讼权利或者实施其他法律行为；</w:t>
      </w:r>
    </w:p>
    <w:p w14:paraId="1865568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（15）选择、更换律师事务所、会计师事务所、证券经纪商、期货经纪机构或其他为基金提供服务的外部机构；</w:t>
      </w:r>
    </w:p>
    <w:p w14:paraId="02B41B2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（16）在符合有关法律、法规的前提下，制订和调整有关基金认购、申购、赎回、转换、定期定额投资、转托管和非交易过户等业务规则；</w:t>
      </w:r>
    </w:p>
    <w:p w14:paraId="528393C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在法律法规和基金合同规定的范围内决定调整基金费率结构和收费方式；</w:t>
      </w:r>
    </w:p>
    <w:p w14:paraId="1CC8C12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Fonts w:ascii="宋体" w:hAnsi="宋体" w:cs="宋体"/>
          <w:kern w:val="0"/>
          <w:sz w:val="24"/>
          <w:szCs w:val="24"/>
        </w:rPr>
        <w:t>法律法规及中国证监会规定的和《基金合同》约定的其他权利。</w:t>
      </w:r>
    </w:p>
    <w:p w14:paraId="5CA7358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根据《基金法》、《运作办法》及其他有关规定，基金管理人的义务包括但不限于：</w:t>
      </w:r>
    </w:p>
    <w:p w14:paraId="15BCA07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依法募集资金，办理或者委托经中国证监会认定的其他机构代为办理基金份额的</w:t>
      </w:r>
      <w:r>
        <w:rPr>
          <w:rStyle w:val="custom"/>
          <w:rFonts w:ascii="宋体" w:hAnsi="宋体" w:cs="宋体"/>
          <w:kern w:val="0"/>
          <w:sz w:val="24"/>
          <w:szCs w:val="24"/>
        </w:rPr>
        <w:t>发售、</w:t>
      </w:r>
      <w:r>
        <w:rPr>
          <w:rFonts w:ascii="宋体" w:hAnsi="宋体" w:cs="宋体"/>
          <w:kern w:val="0"/>
          <w:sz w:val="24"/>
          <w:szCs w:val="24"/>
        </w:rPr>
        <w:t>申购、赎回和登记事宜；</w:t>
      </w:r>
    </w:p>
    <w:p w14:paraId="006569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办理基金备案手续；</w:t>
      </w:r>
    </w:p>
    <w:p w14:paraId="4D9B6C0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自《基金合同》生效之日起，以诚实信用、谨慎勤勉的原则管理和运用基金财产；</w:t>
      </w:r>
    </w:p>
    <w:p w14:paraId="5E8BFE1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配备足够的具有专业资格的人员进行基金投资分析、决策，以专业化的经营方式管理和运作基金财产；</w:t>
      </w:r>
    </w:p>
    <w:p w14:paraId="3BA0A84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建立健全内部风险控制、监察与稽核、财务管理及人事管理等制度，保证所管理的基金财产和基金管理人的财产相互独立，对所管理的不同基金分别管理，分别记账，进行证券投资；</w:t>
      </w:r>
    </w:p>
    <w:p w14:paraId="1D6399E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（6）</w:t>
      </w:r>
      <w:r>
        <w:rPr>
          <w:rFonts w:ascii="宋体" w:hAnsi="宋体" w:cs="宋体"/>
          <w:kern w:val="0"/>
          <w:sz w:val="24"/>
          <w:szCs w:val="24"/>
        </w:rPr>
        <w:t>除依据《基金法》、《基金合同》及其他有关规定外，不得利用基金财产为自己及任何第三人谋取利益，不得委托第三人运作基金财产；</w:t>
      </w:r>
    </w:p>
    <w:p w14:paraId="1114406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依法接受基金托管人的监督；</w:t>
      </w:r>
    </w:p>
    <w:p w14:paraId="50F6C70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采取适当合理的措施使计算基金份额</w:t>
      </w:r>
      <w:r>
        <w:rPr>
          <w:rStyle w:val="custom"/>
          <w:rFonts w:ascii="宋体" w:hAnsi="宋体" w:cs="宋体"/>
          <w:kern w:val="0"/>
          <w:sz w:val="24"/>
          <w:szCs w:val="24"/>
        </w:rPr>
        <w:t>认购、</w:t>
      </w:r>
      <w:r>
        <w:rPr>
          <w:rFonts w:ascii="宋体" w:hAnsi="宋体" w:cs="宋体"/>
          <w:kern w:val="0"/>
          <w:sz w:val="24"/>
          <w:szCs w:val="24"/>
        </w:rPr>
        <w:t>申购、赎回和注销价格的方法符合《基金合同》等法律文件的规定，按有关规定计算并公告基金净值信息，确定基金份额申购、赎回的价格；</w:t>
      </w:r>
    </w:p>
    <w:p w14:paraId="263EC9D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进行基金会计核算并编制基金财务会计报告；</w:t>
      </w:r>
    </w:p>
    <w:p w14:paraId="51D2E71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编制季度报告、中期报告和年度报告；</w:t>
      </w:r>
    </w:p>
    <w:p w14:paraId="22F86C5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严格按照《基金法》、《基金合同》及其他有关规定，履行信息披露及报告义务；</w:t>
      </w:r>
    </w:p>
    <w:p w14:paraId="2F604F2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14:paraId="1CC9119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按《基金合同》的约定确定基金收益分配方案，及时向基金份额持有人分配基金收益；</w:t>
      </w:r>
    </w:p>
    <w:p w14:paraId="68B57F5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按规定受理申购与赎回申请，及时、足额支付赎回款项；</w:t>
      </w:r>
    </w:p>
    <w:p w14:paraId="15E2F52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依据《基金法》、《基金合同》及其他有关规定召集基金份额持有人大会或配合基金托管人、基金份额持有人依法召集基金份额持有人大会；</w:t>
      </w:r>
    </w:p>
    <w:p w14:paraId="3EE312F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（16）</w:t>
      </w:r>
      <w:r>
        <w:rPr>
          <w:rFonts w:ascii="宋体" w:hAnsi="宋体" w:cs="宋体"/>
          <w:kern w:val="0"/>
          <w:sz w:val="24"/>
          <w:szCs w:val="24"/>
        </w:rPr>
        <w:t>按规定保存基金财产管理业务活动的会计账册、报表、记录和其他相关资料不少于法定最低期限；</w:t>
      </w:r>
    </w:p>
    <w:p w14:paraId="285B39A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EBF0CF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Fonts w:ascii="宋体" w:hAnsi="宋体" w:cs="宋体"/>
          <w:kern w:val="0"/>
          <w:sz w:val="24"/>
          <w:szCs w:val="24"/>
        </w:rPr>
        <w:t>组织并参加基金财产清算小组，参与基金财产的保管、清理、估价、变现和分配；</w:t>
      </w:r>
    </w:p>
    <w:p w14:paraId="1262198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面临解散、依法被撤销或者被依法宣告破产时，及时报告中国证监会并通知基金托管人；</w:t>
      </w:r>
    </w:p>
    <w:p w14:paraId="587A452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因违反《基金合同》导致基金财产的损失或损害基金份额持有人合</w:t>
      </w:r>
      <w:r>
        <w:rPr>
          <w:rFonts w:ascii="宋体" w:hAnsi="宋体" w:cs="宋体"/>
          <w:kern w:val="0"/>
          <w:sz w:val="24"/>
          <w:szCs w:val="24"/>
        </w:rPr>
        <w:lastRenderedPageBreak/>
        <w:t>法权益时，应当承担赔偿责任，其赔偿责任不因其退任而免除；</w:t>
      </w:r>
    </w:p>
    <w:p w14:paraId="65BBE5B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（21）</w:t>
      </w:r>
      <w:r>
        <w:rPr>
          <w:rFonts w:ascii="宋体" w:hAnsi="宋体" w:cs="宋体"/>
          <w:kern w:val="0"/>
          <w:sz w:val="24"/>
          <w:szCs w:val="24"/>
        </w:rPr>
        <w:t>监督基金托管人按法律法规和《基金合同》规定履行自己的义务，基金托管人违反《基金合同》造成基金财产损失时，基金管理人应为基金份额持有人利益向基金托管人追偿；</w:t>
      </w:r>
    </w:p>
    <w:p w14:paraId="7467D98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当基金管理人将其义务委托第三方处理时，应当对第三方处理有关基金事务的行为承担责任；</w:t>
      </w:r>
    </w:p>
    <w:p w14:paraId="4F10A6D2"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以基金管理人名义，代表基金份额持有人利益行使诉讼权利或实施其他法律行为；</w:t>
      </w:r>
    </w:p>
    <w:p w14:paraId="4CDCA885" w14:textId="77777777" w:rsidR="00A71A93" w:rsidRDefault="009713AD">
      <w:pPr>
        <w:widowControl/>
        <w:spacing w:line="360" w:lineRule="auto"/>
        <w:ind w:firstLine="480"/>
        <w:jc w:val="left"/>
        <w:rPr>
          <w:rStyle w:val="serial-tag"/>
          <w:rFonts w:ascii="宋体" w:hAnsi="宋体" w:cs="宋体"/>
          <w:kern w:val="0"/>
          <w:sz w:val="24"/>
          <w:szCs w:val="24"/>
        </w:rPr>
      </w:pPr>
      <w:r>
        <w:rPr>
          <w:rStyle w:val="serial-tag"/>
          <w:rFonts w:ascii="宋体" w:hAnsi="宋体" w:cs="宋体"/>
          <w:kern w:val="0"/>
          <w:sz w:val="24"/>
          <w:szCs w:val="24"/>
        </w:rPr>
        <w:t>（24）</w:t>
      </w:r>
      <w:r>
        <w:rPr>
          <w:rStyle w:val="custom"/>
          <w:rFonts w:ascii="宋体" w:hAnsi="宋体" w:cs="宋体"/>
          <w:kern w:val="0"/>
          <w:sz w:val="24"/>
          <w:szCs w:val="24"/>
        </w:rPr>
        <w:t>基金管理人在募集期间未能达到基金的备案条件，《基金合同》不能生效，基金管理人承担全部募集费用，将已募集资金并加计银行同期活期存款利息在基金募集期结束后30日内退还基金认购人；</w:t>
      </w:r>
    </w:p>
    <w:p w14:paraId="4839D52D"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（25）</w:t>
      </w:r>
      <w:r>
        <w:rPr>
          <w:rFonts w:ascii="宋体" w:hAnsi="宋体" w:cs="宋体"/>
          <w:kern w:val="0"/>
          <w:sz w:val="24"/>
          <w:szCs w:val="24"/>
        </w:rPr>
        <w:t>执行生效的基金份额持有人大会的决议；</w:t>
      </w:r>
    </w:p>
    <w:p w14:paraId="6DB3F78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Fonts w:ascii="宋体" w:hAnsi="宋体" w:cs="宋体"/>
          <w:kern w:val="0"/>
          <w:sz w:val="24"/>
          <w:szCs w:val="24"/>
        </w:rPr>
        <w:t>建立并保存基金份额持有人名册；</w:t>
      </w:r>
    </w:p>
    <w:p w14:paraId="2C2C3AF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（27）</w:t>
      </w:r>
      <w:r>
        <w:rPr>
          <w:rFonts w:ascii="宋体" w:hAnsi="宋体" w:cs="宋体"/>
          <w:kern w:val="0"/>
          <w:sz w:val="24"/>
          <w:szCs w:val="24"/>
        </w:rPr>
        <w:t>法律法规及中国证监会规定的和《基金合同》约定的其他义务。</w:t>
      </w:r>
    </w:p>
    <w:p w14:paraId="37DE89F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w:t>
      </w:r>
    </w:p>
    <w:p w14:paraId="6F5FB51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基金托管人简况</w:t>
      </w:r>
    </w:p>
    <w:p w14:paraId="45B28CC4"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名称：中国建设银行股份有限公司</w:t>
      </w:r>
    </w:p>
    <w:p w14:paraId="6DCF2693"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住所：北京市西城区金融大街25号</w:t>
      </w:r>
    </w:p>
    <w:p w14:paraId="3F07BA68"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法定代表人：</w:t>
      </w:r>
      <w:r w:rsidR="00E165B0">
        <w:rPr>
          <w:rFonts w:ascii="宋体" w:hAnsi="宋体" w:cs="宋体" w:hint="eastAsia"/>
          <w:kern w:val="0"/>
          <w:sz w:val="24"/>
          <w:szCs w:val="24"/>
        </w:rPr>
        <w:t>张金良</w:t>
      </w:r>
    </w:p>
    <w:p w14:paraId="2686FBED"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成立时间：2004年09月17日</w:t>
      </w:r>
    </w:p>
    <w:p w14:paraId="237B8C44"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批准设立机关及批准设立文号：中国银行业监督管理委员会银监复【2004】143号</w:t>
      </w:r>
    </w:p>
    <w:p w14:paraId="55C0C606"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组织形式：股份有限公司</w:t>
      </w:r>
    </w:p>
    <w:p w14:paraId="5F79AC4B"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注册资本：人民币贰仟伍佰亿壹仟零玖拾柒万柒仟肆佰捌拾陆元整</w:t>
      </w:r>
    </w:p>
    <w:p w14:paraId="59D3AA76"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存续期间：持续经营</w:t>
      </w:r>
    </w:p>
    <w:p w14:paraId="283F5C51"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基金托管资格批文及文号：中国证监会证监基字</w:t>
      </w:r>
      <w:r>
        <w:rPr>
          <w:rFonts w:eastAsia="Times New Roman"/>
          <w:kern w:val="0"/>
          <w:sz w:val="24"/>
          <w:szCs w:val="24"/>
        </w:rPr>
        <w:t>[1998]12</w:t>
      </w:r>
      <w:r>
        <w:rPr>
          <w:rFonts w:ascii="宋体" w:hAnsi="宋体" w:cs="宋体"/>
          <w:kern w:val="0"/>
          <w:sz w:val="24"/>
          <w:szCs w:val="24"/>
        </w:rPr>
        <w:t>号</w:t>
      </w:r>
    </w:p>
    <w:p w14:paraId="21C5550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基金托管人的权利与义务</w:t>
      </w:r>
    </w:p>
    <w:p w14:paraId="2A5C0A4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根据《基金法》、《运作办法》及其他有关规定，基金托管人的权利包括但不限于：</w:t>
      </w:r>
    </w:p>
    <w:p w14:paraId="2803B8C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（1）</w:t>
      </w:r>
      <w:r>
        <w:rPr>
          <w:rFonts w:ascii="宋体" w:hAnsi="宋体" w:cs="宋体"/>
          <w:kern w:val="0"/>
          <w:sz w:val="24"/>
          <w:szCs w:val="24"/>
        </w:rPr>
        <w:t>自《基金合同》生效之日起，依法律法规和《基金合同》的规定安全保管基金财产；</w:t>
      </w:r>
    </w:p>
    <w:p w14:paraId="31D4D32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依《基金合同》约定获得基金托管费以及法律法规规定或监管部门批准的其他费用；</w:t>
      </w:r>
    </w:p>
    <w:p w14:paraId="4CB6759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EC9C83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（4）根据相关市场规则，为基金开设资金账户</w:t>
      </w:r>
      <w:r w:rsidR="009239A3">
        <w:rPr>
          <w:rStyle w:val="custom"/>
          <w:rFonts w:ascii="宋体" w:hAnsi="宋体" w:cs="宋体" w:hint="eastAsia"/>
          <w:kern w:val="0"/>
          <w:sz w:val="24"/>
          <w:szCs w:val="24"/>
        </w:rPr>
        <w:t>、</w:t>
      </w:r>
      <w:r>
        <w:rPr>
          <w:rStyle w:val="custom"/>
          <w:rFonts w:ascii="宋体" w:hAnsi="宋体" w:cs="宋体"/>
          <w:kern w:val="0"/>
          <w:sz w:val="24"/>
          <w:szCs w:val="24"/>
        </w:rPr>
        <w:t>证券账户等投资所需账户，为基金办理证券、期货交易资金清算；</w:t>
      </w:r>
    </w:p>
    <w:p w14:paraId="6E12E62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提议召开或召集基金份额持有人大会；</w:t>
      </w:r>
    </w:p>
    <w:p w14:paraId="66156AB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在基金管理人更换时，提名新的基金管理人；</w:t>
      </w:r>
    </w:p>
    <w:p w14:paraId="5EACFAE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法律法规及中国证监会规定的和《基金合同》约定的其他权利。</w:t>
      </w:r>
    </w:p>
    <w:p w14:paraId="2D23324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根据《基金法》、《运作办法》及其他有关规定，基金托管人的义务包括但不限于：</w:t>
      </w:r>
    </w:p>
    <w:p w14:paraId="3A4BF7D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以诚实信用、勤勉尽责的原则持有并安全保管基金财产；</w:t>
      </w:r>
    </w:p>
    <w:p w14:paraId="0F7032E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设立专门的基金托管部门，具有符合要求的营业场所，配备足够的、合格的熟悉基金托管业务的专职人员，负责基金财产托管事宜；</w:t>
      </w:r>
    </w:p>
    <w:p w14:paraId="5E5E619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5D2161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除依据《基金法》、《基金合同》及其他有关规定外，不得利用基金财产为自己及任何第三人谋取利益，不得委托第三人托管基金财产；</w:t>
      </w:r>
    </w:p>
    <w:p w14:paraId="47A5B04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保管由基金管理人代表基金签订的与基金有关的重大合同及有关凭证；</w:t>
      </w:r>
    </w:p>
    <w:p w14:paraId="3A68FB7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按规定开设基金财产的资金账户</w:t>
      </w:r>
      <w:r w:rsidR="0086073C">
        <w:rPr>
          <w:rFonts w:ascii="宋体" w:hAnsi="宋体" w:cs="宋体" w:hint="eastAsia"/>
          <w:kern w:val="0"/>
          <w:sz w:val="24"/>
          <w:szCs w:val="24"/>
        </w:rPr>
        <w:t>、</w:t>
      </w:r>
      <w:r>
        <w:rPr>
          <w:rFonts w:ascii="宋体" w:hAnsi="宋体" w:cs="宋体"/>
          <w:kern w:val="0"/>
          <w:sz w:val="24"/>
          <w:szCs w:val="24"/>
        </w:rPr>
        <w:t>证券账户等投资所需账户，按照《基金合同》的约定，根据基金管理人的投资指令，及时办理清算、交割事宜；</w:t>
      </w:r>
    </w:p>
    <w:p w14:paraId="68841CB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保守基金商业秘密，除《基金法》、《基金合同》及其他有关规定另</w:t>
      </w:r>
      <w:r>
        <w:rPr>
          <w:rFonts w:ascii="宋体" w:hAnsi="宋体" w:cs="宋体"/>
          <w:kern w:val="0"/>
          <w:sz w:val="24"/>
          <w:szCs w:val="24"/>
        </w:rPr>
        <w:lastRenderedPageBreak/>
        <w:t>有规定外，在基金信息公开披露前予以保密，不得向他人泄露，但应监管机构、司法机关等有权机关的要求，或因审计、法律等外部专业顾问提供服务需要提供的情况除外；</w:t>
      </w:r>
    </w:p>
    <w:p w14:paraId="2F4E3E1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复核、审查基金管理人计算的基金资产净值、</w:t>
      </w:r>
      <w:r>
        <w:rPr>
          <w:rStyle w:val="custom"/>
          <w:rFonts w:ascii="宋体" w:hAnsi="宋体" w:cs="宋体"/>
          <w:kern w:val="0"/>
          <w:sz w:val="24"/>
          <w:szCs w:val="24"/>
        </w:rPr>
        <w:t>各类</w:t>
      </w:r>
      <w:r>
        <w:rPr>
          <w:rFonts w:ascii="宋体" w:hAnsi="宋体" w:cs="宋体"/>
          <w:kern w:val="0"/>
          <w:sz w:val="24"/>
          <w:szCs w:val="24"/>
        </w:rPr>
        <w:t>基金份额净值、基金份额申购、赎回价格；</w:t>
      </w:r>
    </w:p>
    <w:p w14:paraId="67B0FF9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办理与基金托管业务活动有关的信息披露事项；</w:t>
      </w:r>
    </w:p>
    <w:p w14:paraId="0C4A8B7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22D529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保存基金托管业务活动的记录、账册、报表和其他相关资料不少于法定最低期限；</w:t>
      </w:r>
    </w:p>
    <w:p w14:paraId="66B44173" w14:textId="77777777" w:rsidR="00A71A93" w:rsidRPr="00335397" w:rsidRDefault="009713AD">
      <w:pPr>
        <w:pStyle w:val="div"/>
        <w:spacing w:line="360" w:lineRule="auto"/>
        <w:ind w:firstLine="420"/>
        <w:jc w:val="left"/>
        <w:rPr>
          <w:rFonts w:ascii="宋体" w:hAnsi="宋体" w:cs="宋体"/>
          <w:kern w:val="0"/>
          <w:sz w:val="24"/>
          <w:szCs w:val="24"/>
        </w:rPr>
      </w:pPr>
      <w:r>
        <w:rPr>
          <w:rStyle w:val="custom"/>
          <w:rFonts w:ascii="宋体" w:hAnsi="宋体" w:cs="宋体"/>
          <w:kern w:val="0"/>
          <w:sz w:val="24"/>
          <w:szCs w:val="24"/>
        </w:rPr>
        <w:t>（12）</w:t>
      </w:r>
      <w:r w:rsidR="007F29DF" w:rsidRPr="00335397">
        <w:rPr>
          <w:rFonts w:ascii="宋体" w:hAnsi="宋体" w:cs="宋体" w:hint="eastAsia"/>
          <w:kern w:val="0"/>
          <w:sz w:val="24"/>
          <w:szCs w:val="24"/>
        </w:rPr>
        <w:t>从基金管理人或其委托的登记机构处接收</w:t>
      </w:r>
      <w:r>
        <w:rPr>
          <w:rFonts w:ascii="宋体" w:hAnsi="宋体" w:cs="宋体"/>
          <w:kern w:val="0"/>
          <w:sz w:val="24"/>
          <w:szCs w:val="24"/>
        </w:rPr>
        <w:t>并保存基金份额持有人名册；</w:t>
      </w:r>
    </w:p>
    <w:p w14:paraId="2C3FD92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按规定制作相关账册并与基金管理人核对；</w:t>
      </w:r>
    </w:p>
    <w:p w14:paraId="2879A69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依据基金管理人的指令或有关规定向基金份额持有人支付基金收益和赎回款项；</w:t>
      </w:r>
    </w:p>
    <w:p w14:paraId="5DF90CB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依据《基金法》、《基金合同》及其他有关规定，召集基金份额持有人大会或配合基金管理人、基金份额持有人依法召集基金份额持有人大会；</w:t>
      </w:r>
    </w:p>
    <w:p w14:paraId="366A30E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（16）</w:t>
      </w:r>
      <w:r>
        <w:rPr>
          <w:rFonts w:ascii="宋体" w:hAnsi="宋体" w:cs="宋体"/>
          <w:kern w:val="0"/>
          <w:sz w:val="24"/>
          <w:szCs w:val="24"/>
        </w:rPr>
        <w:t>按照法律法规和《基金合同》的规定监督基金管理人的投资运作；</w:t>
      </w:r>
    </w:p>
    <w:p w14:paraId="22E31F5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参加基金财产清算小组，参与基金财产的保管、清理、估价、变现和分配；</w:t>
      </w:r>
    </w:p>
    <w:p w14:paraId="7E36AF2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（18）面临解散、依法被撤销或者被依法宣告破产时，及时报告中国证监会和银行业监督管理机构，并通知基金管理人；</w:t>
      </w:r>
    </w:p>
    <w:p w14:paraId="12EBA91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因违反《基金合同》导致基金财产损失时，应承担赔偿责任，其赔偿责任不因其退任而免除；</w:t>
      </w:r>
    </w:p>
    <w:p w14:paraId="75C1C8E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按规定监督基金管理人按法律法规和《基金合同》规定履行自己的义务，基金管理人因违反《基金合同》造成基金财产损失时，应为基金份额持有人利益向基金管理人追偿；</w:t>
      </w:r>
    </w:p>
    <w:p w14:paraId="2645ADB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（21）</w:t>
      </w:r>
      <w:r>
        <w:rPr>
          <w:rFonts w:ascii="宋体" w:hAnsi="宋体" w:cs="宋体"/>
          <w:kern w:val="0"/>
          <w:sz w:val="24"/>
          <w:szCs w:val="24"/>
        </w:rPr>
        <w:t>执行生效的基金份额持有人大会的决议；</w:t>
      </w:r>
    </w:p>
    <w:p w14:paraId="5A27523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法律法规及中国证监会规定的和《基金合同》约定的其他义务。</w:t>
      </w:r>
    </w:p>
    <w:p w14:paraId="318A4CB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基金份额持有人</w:t>
      </w:r>
    </w:p>
    <w:p w14:paraId="21AEEE6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4EFD26BB"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同一类别内每份基金份额具有同等的合法权益。</w:t>
      </w:r>
    </w:p>
    <w:p w14:paraId="60C3C60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根据《基金法》、《运作办法》及其他有关规定，基金份额持有人的权利包括但不限于：</w:t>
      </w:r>
    </w:p>
    <w:p w14:paraId="5191ACB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分享基金财产收益；</w:t>
      </w:r>
    </w:p>
    <w:p w14:paraId="5C9B2FE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参与分配清算后的剩余基金财产；</w:t>
      </w:r>
    </w:p>
    <w:p w14:paraId="4889D22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依法转让或者申请赎回其持有的基金份额；</w:t>
      </w:r>
    </w:p>
    <w:p w14:paraId="6A506AE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按照规定要求召开基金份额持有人大会或者召集基金份额持有人大会；</w:t>
      </w:r>
    </w:p>
    <w:p w14:paraId="2A21EAF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出席或者委派代表出席基金份额持有人大会，对基金份额持有人大会审议事项行使表决权；</w:t>
      </w:r>
    </w:p>
    <w:p w14:paraId="7241129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查阅或者复制公开披露的基金信息资料；</w:t>
      </w:r>
    </w:p>
    <w:p w14:paraId="457463B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监督基金管理人的投资运作；</w:t>
      </w:r>
    </w:p>
    <w:p w14:paraId="1D22F47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对基金管理人、基金托管人、基金服务机构损害其合法权益的行为依法提起诉讼或仲裁；</w:t>
      </w:r>
    </w:p>
    <w:p w14:paraId="6108886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法律法规及中国证监会规定的和《基金合同》约定的其他权利。</w:t>
      </w:r>
    </w:p>
    <w:p w14:paraId="1F65290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根据《基金法》、《运作办法》及其他有关规定，基金份额持有人的义务包括但不限于：</w:t>
      </w:r>
    </w:p>
    <w:p w14:paraId="06E42DC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认真阅读并遵守《基金合同》、《招募说明书》等信息披露文件；</w:t>
      </w:r>
    </w:p>
    <w:p w14:paraId="7ABC767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了解所投资基金产品，了解自身风险承受能力，自主判断基金的投资价值，自主做出投资决策，自行承担投资风险；</w:t>
      </w:r>
    </w:p>
    <w:p w14:paraId="2B19B14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关注基金信息披露，及时行使权利和履行义务；</w:t>
      </w:r>
    </w:p>
    <w:p w14:paraId="13B21EE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交纳基金</w:t>
      </w:r>
      <w:r>
        <w:rPr>
          <w:rStyle w:val="custom"/>
          <w:rFonts w:ascii="宋体" w:hAnsi="宋体" w:cs="宋体"/>
          <w:kern w:val="0"/>
          <w:sz w:val="24"/>
          <w:szCs w:val="24"/>
        </w:rPr>
        <w:t>认购、</w:t>
      </w:r>
      <w:r>
        <w:rPr>
          <w:rFonts w:ascii="宋体" w:hAnsi="宋体" w:cs="宋体"/>
          <w:kern w:val="0"/>
          <w:sz w:val="24"/>
          <w:szCs w:val="24"/>
        </w:rPr>
        <w:t>申购款项及法律法规和《基金合同》所规定的费用；</w:t>
      </w:r>
    </w:p>
    <w:p w14:paraId="335822F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（5）</w:t>
      </w:r>
      <w:r>
        <w:rPr>
          <w:rFonts w:ascii="宋体" w:hAnsi="宋体" w:cs="宋体"/>
          <w:kern w:val="0"/>
          <w:sz w:val="24"/>
          <w:szCs w:val="24"/>
        </w:rPr>
        <w:t>在其持有的基金份额范围内，承担基金亏损或者《基金合同》终止的有限责任；</w:t>
      </w:r>
    </w:p>
    <w:p w14:paraId="574132A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不从事任何有损基金及其他《基金合同》当事人合法权益的活动；</w:t>
      </w:r>
    </w:p>
    <w:p w14:paraId="7B41B00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执行生效的基金份额持有人大会的决议；</w:t>
      </w:r>
    </w:p>
    <w:p w14:paraId="220AB13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返还在基金交易过程中因任何原因获得的不当得利；</w:t>
      </w:r>
    </w:p>
    <w:p w14:paraId="0F3D7F7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提供基金管理人和监管机构依法要求提供的信息，以及不时的更新和补充，并保证其真实性；</w:t>
      </w:r>
    </w:p>
    <w:p w14:paraId="4550EFE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遵守基金管理人、基金托管人、销售机构和登记机构的相关交易及业务规则；</w:t>
      </w:r>
    </w:p>
    <w:p w14:paraId="4D1100D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14:paraId="2059CBE4" w14:textId="77777777" w:rsidR="009D63C8" w:rsidRDefault="009713AD" w:rsidP="009E26D0">
      <w:pPr>
        <w:pStyle w:val="1"/>
        <w:spacing w:before="0" w:after="0"/>
        <w:jc w:val="center"/>
        <w:rPr>
          <w:rFonts w:ascii="Times New Roman"/>
          <w:color w:val="auto"/>
          <w:sz w:val="30"/>
        </w:rPr>
      </w:pPr>
      <w:bookmarkStart w:id="49" w:name="_Toc256000007"/>
      <w:r w:rsidRPr="009E26D0">
        <w:rPr>
          <w:rFonts w:ascii="Times New Roman"/>
          <w:noProof/>
          <w:color w:val="auto"/>
          <w:sz w:val="30"/>
        </w:rPr>
        <w:lastRenderedPageBreak/>
        <w:t>第八部分</w:t>
      </w:r>
      <w:r w:rsidRPr="009E26D0">
        <w:rPr>
          <w:rFonts w:ascii="Times New Roman"/>
          <w:noProof/>
          <w:color w:val="auto"/>
          <w:sz w:val="30"/>
        </w:rPr>
        <w:t xml:space="preserve">  </w:t>
      </w:r>
      <w:r w:rsidRPr="009E26D0">
        <w:rPr>
          <w:rFonts w:ascii="Times New Roman"/>
          <w:noProof/>
          <w:color w:val="auto"/>
          <w:sz w:val="30"/>
        </w:rPr>
        <w:t>基金份额持有人大会</w:t>
      </w:r>
      <w:bookmarkEnd w:id="49"/>
    </w:p>
    <w:p w14:paraId="2FEF9B82" w14:textId="77777777" w:rsidR="007A2B34" w:rsidRPr="0017353E" w:rsidRDefault="007A2B34" w:rsidP="0090469D"/>
    <w:p w14:paraId="162D8E1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14:paraId="6CB1B7B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本基金份额持有人大会不设日常机构。</w:t>
      </w:r>
    </w:p>
    <w:p w14:paraId="78E2B94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召开事由</w:t>
      </w:r>
    </w:p>
    <w:p w14:paraId="2CE9EC8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当出现或需要决定下列事由之一的，应当召开基金份额持有人大会，法律法规、中国证监会另有规定或基金合同另有约定的除外：</w:t>
      </w:r>
    </w:p>
    <w:p w14:paraId="2523988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终止《基金合同》；</w:t>
      </w:r>
    </w:p>
    <w:p w14:paraId="619FA10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更换基金管理人；</w:t>
      </w:r>
    </w:p>
    <w:p w14:paraId="43F15A8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更换基金托管人；</w:t>
      </w:r>
    </w:p>
    <w:p w14:paraId="1D2B478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（4）转换基金运作方式；</w:t>
      </w:r>
    </w:p>
    <w:p w14:paraId="20641FB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（5）调整基金管理人、基金托管人的报酬标准或提高销售服务费率；</w:t>
      </w:r>
    </w:p>
    <w:p w14:paraId="3C21C49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变更基金类别；</w:t>
      </w:r>
    </w:p>
    <w:p w14:paraId="767F9A2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本基金与其他基金的合并；</w:t>
      </w:r>
    </w:p>
    <w:p w14:paraId="184A17C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变更基金投资目标、范围或策略；</w:t>
      </w:r>
    </w:p>
    <w:p w14:paraId="6D7ECA9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变更基金份额持有人大会程序；</w:t>
      </w:r>
    </w:p>
    <w:p w14:paraId="342EDD8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基金管理人或基金托管人要求召开基金份额持有人大会；</w:t>
      </w:r>
    </w:p>
    <w:p w14:paraId="04F5091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单独或合计持有本基金总份额10%以上（含10%）基金份额的基金份额持有人（以基金管理人收到提议当日的基金份额计算，下同）就同一事项书面要求召开基金份额持有人大会；</w:t>
      </w:r>
    </w:p>
    <w:p w14:paraId="47698B2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对基金合同当事人权利和义务产生重大影响的其他事项；</w:t>
      </w:r>
    </w:p>
    <w:p w14:paraId="370CE11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法律法规、《基金合同》或中国证监会规定的其他应当召开基金份额持有人大会的事项。</w:t>
      </w:r>
    </w:p>
    <w:p w14:paraId="0423FB7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在法律法规规定和《基金合同》约定的范围内且对基金份额持有人利益无实质性不利影响的前提下，以下情况可由基金管理人和基金托管人协商后修改，不需召开基金份额持有人大会：</w:t>
      </w:r>
    </w:p>
    <w:p w14:paraId="73738C8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法律法规要求增加的基金费用的收取；</w:t>
      </w:r>
    </w:p>
    <w:p w14:paraId="32E1FD24" w14:textId="69B6FAAD"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（2）调整本基金的申购费率、调低销售服务费率或变更收费方式；</w:t>
      </w:r>
    </w:p>
    <w:p w14:paraId="22B9249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增加、减少或调整基金份额类别设置或者调整基金份额分类办法及规则等；</w:t>
      </w:r>
    </w:p>
    <w:p w14:paraId="33BEB9B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（4）因相应的法律法规发生变动而应当对《基金合同》进行修改；</w:t>
      </w:r>
    </w:p>
    <w:p w14:paraId="36E8303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（5）基金管理人和基金登记机构等调整或修改《业务规则》，包括但不限于有关基金认购、申购、赎回、转换、非交易过户、转托管等内容；</w:t>
      </w:r>
    </w:p>
    <w:p w14:paraId="048DD24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对《基金合同》的修改对基金份额持有人利益无实质性不利影响或修改不涉及《基金合同》当事人权利义务关系发生重大变化；</w:t>
      </w:r>
    </w:p>
    <w:p w14:paraId="4FC86E5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sidR="00A6741A">
        <w:rPr>
          <w:rStyle w:val="custom"/>
          <w:rFonts w:ascii="宋体" w:hAnsi="宋体" w:cs="宋体" w:hint="eastAsia"/>
          <w:kern w:val="0"/>
          <w:sz w:val="24"/>
          <w:szCs w:val="24"/>
        </w:rPr>
        <w:t>在履行适当程序后，</w:t>
      </w:r>
      <w:r>
        <w:rPr>
          <w:rFonts w:ascii="宋体" w:hAnsi="宋体" w:cs="宋体"/>
          <w:kern w:val="0"/>
          <w:sz w:val="24"/>
          <w:szCs w:val="24"/>
        </w:rPr>
        <w:t>基金推出新业务或服务；</w:t>
      </w:r>
    </w:p>
    <w:p w14:paraId="573CFDA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w:t>
      </w:r>
      <w:r w:rsidR="00335397">
        <w:rPr>
          <w:rStyle w:val="custom"/>
          <w:rFonts w:ascii="宋体" w:hAnsi="宋体" w:cs="宋体"/>
          <w:kern w:val="0"/>
          <w:sz w:val="24"/>
          <w:szCs w:val="24"/>
        </w:rPr>
        <w:t>8</w:t>
      </w:r>
      <w:r>
        <w:rPr>
          <w:rStyle w:val="custom"/>
          <w:rFonts w:ascii="宋体" w:hAnsi="宋体" w:cs="宋体"/>
          <w:kern w:val="0"/>
          <w:sz w:val="24"/>
          <w:szCs w:val="24"/>
        </w:rPr>
        <w:t>）</w:t>
      </w:r>
      <w:r>
        <w:rPr>
          <w:rFonts w:ascii="宋体" w:hAnsi="宋体" w:cs="宋体"/>
          <w:kern w:val="0"/>
          <w:sz w:val="24"/>
          <w:szCs w:val="24"/>
        </w:rPr>
        <w:t>按照法律法规和《基金合同》规定不需召开基金份额持有人大会的其他情形。</w:t>
      </w:r>
    </w:p>
    <w:p w14:paraId="59DCD76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会议召集人及召集方式</w:t>
      </w:r>
    </w:p>
    <w:p w14:paraId="0840401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除法律法规规定或《基金合同》另有约定外，基金份额持有人大会由基金管理人召集。</w:t>
      </w:r>
    </w:p>
    <w:p w14:paraId="23E6A81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基金管理人未按规定召集或不能召集时，由基金托管人召集。</w:t>
      </w:r>
    </w:p>
    <w:p w14:paraId="62CC358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4F2D6EF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w:t>
      </w:r>
      <w:r>
        <w:rPr>
          <w:rFonts w:ascii="宋体" w:hAnsi="宋体" w:cs="宋体"/>
          <w:kern w:val="0"/>
          <w:sz w:val="24"/>
          <w:szCs w:val="24"/>
        </w:rPr>
        <w:lastRenderedPageBreak/>
        <w:t>书面决定之日起60日内召开并告知基金管理人，基金管理人应当配合。</w:t>
      </w:r>
    </w:p>
    <w:p w14:paraId="1D065F5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1885024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基金份额持有人会议的召集人负责选择确定开会时间、地点、方式和权益登记日。</w:t>
      </w:r>
    </w:p>
    <w:p w14:paraId="41B5E81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召开基金份额持有人大会的通知时间、通知内容、通知方式</w:t>
      </w:r>
    </w:p>
    <w:p w14:paraId="7A9582F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召开基金份额持有人大会，召集人应于会议召开前30日，在规定媒介公告。基金份额持有人大会通知应至少载明以下内容：</w:t>
      </w:r>
    </w:p>
    <w:p w14:paraId="54CDF19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会议召开的时间、地点和会议形式；</w:t>
      </w:r>
    </w:p>
    <w:p w14:paraId="7BB9AF4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会议拟审议的事项、议事程序和表决方式；</w:t>
      </w:r>
    </w:p>
    <w:p w14:paraId="1D8621F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有权出席基金份额持有人大会的基金份额持有人的权益登记日；</w:t>
      </w:r>
    </w:p>
    <w:p w14:paraId="3DD0EAC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授权委托证明的内容要求（包括但不限于代理人身份，代理权限和代理有效期限等）、送达时间和地点；</w:t>
      </w:r>
    </w:p>
    <w:p w14:paraId="12CC828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会务常设联系人姓名及联系电话；</w:t>
      </w:r>
    </w:p>
    <w:p w14:paraId="4AB9516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出席会议者必须准备的文件和必须履行的手续；</w:t>
      </w:r>
    </w:p>
    <w:p w14:paraId="4274079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召集人需要通知的其他事项。</w:t>
      </w:r>
    </w:p>
    <w:p w14:paraId="7854611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581E318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1960126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基金份额持有人出席会议的方式</w:t>
      </w:r>
    </w:p>
    <w:p w14:paraId="15AE5F3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基金份额持有人大会可通过现场开会方式、通讯开会方式或法律法规、监管机构允许的其他方式召开，会议的召开方式由会议召集人确定。</w:t>
      </w:r>
    </w:p>
    <w:p w14:paraId="5D86C4F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63F6D0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A47A1C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49172F0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14:paraId="19732B0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在同时符合以下条件时，通讯开会的方式视为有效：</w:t>
      </w:r>
    </w:p>
    <w:p w14:paraId="72469A6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会议召集人按《基金合同》约定公布会议通知后，在2个工作日内连续公布相关提示性公告；</w:t>
      </w:r>
    </w:p>
    <w:p w14:paraId="199F8DE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1914DC2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本人直接出具书面意见或授权他人代表出具书面意见的，基金份额持</w:t>
      </w:r>
      <w:r>
        <w:rPr>
          <w:rFonts w:ascii="宋体" w:hAnsi="宋体" w:cs="宋体"/>
          <w:kern w:val="0"/>
          <w:sz w:val="24"/>
          <w:szCs w:val="24"/>
        </w:rPr>
        <w:lastRenderedPageBreak/>
        <w:t>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504F4F5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0DA4724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14:paraId="78C129A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议事内容与程序</w:t>
      </w:r>
    </w:p>
    <w:p w14:paraId="2567719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议事内容及提案权</w:t>
      </w:r>
    </w:p>
    <w:p w14:paraId="0C7D6ED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311344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14:paraId="060F2DE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基金份额持有人大会不得对未事先公告的议事内容进行表决。</w:t>
      </w:r>
    </w:p>
    <w:p w14:paraId="0F61EEC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议事程序</w:t>
      </w:r>
    </w:p>
    <w:p w14:paraId="3B11668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w:t>
      </w:r>
    </w:p>
    <w:p w14:paraId="259687DB"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在现场开会的方式下，首先由大会主持人按照下列第七条规定程序确定和公布监票人，然后由大会主持人宣读提案，经讨论后进行表决，并形成大会决议。</w:t>
      </w:r>
      <w:r>
        <w:rPr>
          <w:rFonts w:ascii="宋体" w:hAnsi="宋体" w:cs="宋体"/>
          <w:kern w:val="0"/>
          <w:sz w:val="24"/>
          <w:szCs w:val="24"/>
        </w:rPr>
        <w:lastRenderedPageBreak/>
        <w:t>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1AE6B55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1FC7FA8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w:t>
      </w:r>
    </w:p>
    <w:p w14:paraId="55E3467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在通讯开会的情况下，首先由召集人提前30日公布提案，在所通知的表决截止日期后2个工作日内在公证机关监督下由召集人统计全部有效表决，在公证机关监督下形成决议。</w:t>
      </w:r>
    </w:p>
    <w:p w14:paraId="0B1418C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表决</w:t>
      </w:r>
    </w:p>
    <w:p w14:paraId="1D067AC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基金份额持有人所持每份基金份额有一票表决权。</w:t>
      </w:r>
    </w:p>
    <w:p w14:paraId="1CA210B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基金份额持有人大会决议分为一般决议和特别决议：</w:t>
      </w:r>
    </w:p>
    <w:p w14:paraId="1069360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2F4B28D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特别决议，特别决议应当经参加大会的基金份额持有人或其代理人所持表决权的三分之二以上（含三分之二）通过方可做出。</w:t>
      </w:r>
    </w:p>
    <w:p w14:paraId="716AF967"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除《基金合同》另有约定外，转换基金运作方式、更换基金管理人或者基金托管人、终止《基金合同》、本基金与其他基金合并以特别决议通过方为有效。</w:t>
      </w:r>
    </w:p>
    <w:p w14:paraId="2FEEC5D3"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基金份额持有人大会采取记名方式进行投票表决。</w:t>
      </w:r>
    </w:p>
    <w:p w14:paraId="76280E9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w:t>
      </w:r>
      <w:r>
        <w:rPr>
          <w:rFonts w:ascii="宋体" w:hAnsi="宋体" w:cs="宋体"/>
          <w:kern w:val="0"/>
          <w:sz w:val="24"/>
          <w:szCs w:val="24"/>
        </w:rPr>
        <w:lastRenderedPageBreak/>
        <w:t>总数。</w:t>
      </w:r>
    </w:p>
    <w:p w14:paraId="79C46FA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基金份额持有人大会的各项提案或同一项提案内并列的各项议题应当分开审议、逐项表决。</w:t>
      </w:r>
    </w:p>
    <w:p w14:paraId="7FFC278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计票</w:t>
      </w:r>
    </w:p>
    <w:p w14:paraId="0784E8A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w:t>
      </w:r>
    </w:p>
    <w:p w14:paraId="10DEA96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不影响计票的效力。</w:t>
      </w:r>
    </w:p>
    <w:p w14:paraId="4914F67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监票人应当在基金份额持有人表决后立即进行清点并由大会主持人当场公布计票结果。</w:t>
      </w:r>
    </w:p>
    <w:p w14:paraId="443FC8E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5E0A72E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计票过程应由公证机关予以公证，基金管理人或基金托管人拒不出席大会的，不影响计票的效力。</w:t>
      </w:r>
    </w:p>
    <w:p w14:paraId="51E6B18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w:t>
      </w:r>
    </w:p>
    <w:p w14:paraId="1A34747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6963A69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生效与公告</w:t>
      </w:r>
    </w:p>
    <w:p w14:paraId="2EFB71C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基金份额持有人大会的决议，召集人应当自通过之日起5日内报中国证监会备案。</w:t>
      </w:r>
    </w:p>
    <w:p w14:paraId="7F49E27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基金份额持有人大会的决议自表决通过之日起生效。</w:t>
      </w:r>
    </w:p>
    <w:p w14:paraId="50811DD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基金份额持有人大会决议自生效之日起2日内在规定媒介上公告。如果采用通讯方式进行表决，在公告基金份额持有人大会决议时，必须将公证书全文、公证机构、公证员姓名等一同公告。</w:t>
      </w:r>
    </w:p>
    <w:p w14:paraId="046350E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71224D9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实施侧袋机制期间基金份额持有人大会的特殊约定</w:t>
      </w:r>
    </w:p>
    <w:p w14:paraId="4C072D69"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A65FEB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基金份额持有人行使提议权、召集权、提名权所需单独或合计代表相关基金份额10%以上（含10%）；</w:t>
      </w:r>
    </w:p>
    <w:p w14:paraId="45E9B00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现场开会的到会者在权益登记日代表的基金份额不少于本基金在权益登记日相关基金份额的二分之一（含二分之一）；</w:t>
      </w:r>
    </w:p>
    <w:p w14:paraId="311419C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通讯开会的直接出具书面意见或授权他人代表出具书面意见的基金份额持有人所持有的基金份额不小于在权益登记日相关基金份额的二分之一（含二分之一）；</w:t>
      </w:r>
    </w:p>
    <w:p w14:paraId="6B2D911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4E2479E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现场开会由出席大会的基金份额持有人和代理人所持表决权的50%以上（含50%）选举产生一名基金份额持有人作为该次基金份额持有人大会的主持人；</w:t>
      </w:r>
    </w:p>
    <w:p w14:paraId="686626B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一般决议须经参加大会的基金份额持有人或其代理人所持表决权的二分之一以上（含二分之一）通过；</w:t>
      </w:r>
    </w:p>
    <w:p w14:paraId="31E89F2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特别决议应当经参加大会的基金份额持有人或其代理人所持表决权的三</w:t>
      </w:r>
      <w:r>
        <w:rPr>
          <w:rFonts w:ascii="宋体" w:hAnsi="宋体" w:cs="宋体"/>
          <w:kern w:val="0"/>
          <w:sz w:val="24"/>
          <w:szCs w:val="24"/>
        </w:rPr>
        <w:lastRenderedPageBreak/>
        <w:t>分之二以上（含三分之二）通过。</w:t>
      </w:r>
    </w:p>
    <w:p w14:paraId="442ECFD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同一主侧袋账户内的每份基金份额具有平等的表决权。</w:t>
      </w:r>
    </w:p>
    <w:p w14:paraId="52E782A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r>
        <w:rPr>
          <w:rFonts w:ascii="宋体" w:hAnsi="宋体" w:cs="宋体"/>
          <w:kern w:val="0"/>
          <w:sz w:val="24"/>
          <w:szCs w:val="24"/>
        </w:rPr>
        <w:br w:type="page"/>
      </w:r>
    </w:p>
    <w:p w14:paraId="168C38EE" w14:textId="77777777" w:rsidR="009D63C8" w:rsidRDefault="009713AD" w:rsidP="009E26D0">
      <w:pPr>
        <w:pStyle w:val="1"/>
        <w:spacing w:before="0" w:after="0"/>
        <w:jc w:val="center"/>
        <w:rPr>
          <w:rFonts w:ascii="Times New Roman"/>
          <w:color w:val="auto"/>
          <w:sz w:val="30"/>
        </w:rPr>
      </w:pPr>
      <w:bookmarkStart w:id="50" w:name="_Toc256000008"/>
      <w:r w:rsidRPr="009E26D0">
        <w:rPr>
          <w:rFonts w:ascii="Times New Roman"/>
          <w:noProof/>
          <w:color w:val="auto"/>
          <w:sz w:val="30"/>
        </w:rPr>
        <w:lastRenderedPageBreak/>
        <w:t>第九部分</w:t>
      </w:r>
      <w:r w:rsidRPr="009E26D0">
        <w:rPr>
          <w:rFonts w:ascii="Times New Roman"/>
          <w:noProof/>
          <w:color w:val="auto"/>
          <w:sz w:val="30"/>
        </w:rPr>
        <w:t xml:space="preserve">  </w:t>
      </w:r>
      <w:r w:rsidRPr="009E26D0">
        <w:rPr>
          <w:rFonts w:ascii="Times New Roman"/>
          <w:noProof/>
          <w:color w:val="auto"/>
          <w:sz w:val="30"/>
        </w:rPr>
        <w:t>基金管理人、基金托管人的更换条件和程序</w:t>
      </w:r>
      <w:bookmarkEnd w:id="50"/>
    </w:p>
    <w:p w14:paraId="1C70CA65" w14:textId="77777777" w:rsidR="007A2B34" w:rsidRPr="0017353E" w:rsidRDefault="007A2B34" w:rsidP="0090469D"/>
    <w:p w14:paraId="2E11468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基金管理人和基金托管人职责终止的情形</w:t>
      </w:r>
    </w:p>
    <w:p w14:paraId="67CC827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基金管理人职责终止的情形</w:t>
      </w:r>
    </w:p>
    <w:p w14:paraId="2BB5D0A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有下列情形之一的，基金管理人职责终止：</w:t>
      </w:r>
    </w:p>
    <w:p w14:paraId="7912135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被依法取消基金管理资格；</w:t>
      </w:r>
    </w:p>
    <w:p w14:paraId="457DFDA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被基金份额持有人大会解任；</w:t>
      </w:r>
    </w:p>
    <w:p w14:paraId="0D78B6E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依法解散、被依法撤销或被依法宣告破产；</w:t>
      </w:r>
    </w:p>
    <w:p w14:paraId="6B0E71F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法律法规及中国证监会规定的和《基金合同》约定的其他情形。</w:t>
      </w:r>
    </w:p>
    <w:p w14:paraId="2437291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基金托管人职责终止的情形</w:t>
      </w:r>
    </w:p>
    <w:p w14:paraId="732F08E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有下列情形之一的，基金托管人职责终止：</w:t>
      </w:r>
    </w:p>
    <w:p w14:paraId="6E765C3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被依法取消基金托管资格；</w:t>
      </w:r>
    </w:p>
    <w:p w14:paraId="4DBB937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被基金份额持有人大会解任；</w:t>
      </w:r>
    </w:p>
    <w:p w14:paraId="30147FE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依法解散、被依法撤销或被依法宣告破产；</w:t>
      </w:r>
    </w:p>
    <w:p w14:paraId="1D7C056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法律法规及中国证监会规定的和《基金合同》约定的其他情形。</w:t>
      </w:r>
    </w:p>
    <w:p w14:paraId="39E73E1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基金管理人和基金托管人的更换程序</w:t>
      </w:r>
    </w:p>
    <w:p w14:paraId="7746E39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基金管理人的更换程序</w:t>
      </w:r>
    </w:p>
    <w:p w14:paraId="7596A1E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提名：新任基金管理人由基金托管人或由单独或合计持有10%以上（含10%）基金份额的基金份额持有人提名；</w:t>
      </w:r>
    </w:p>
    <w:p w14:paraId="2ECEDB3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50BD7A6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临时基金管理人：新任基金管理人产生之前，由中国证监会指定临时基金管理人；</w:t>
      </w:r>
    </w:p>
    <w:p w14:paraId="100E2AB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备案：基金份额持有人大会更换基金管理人的决议须报中国证监会备案；</w:t>
      </w:r>
    </w:p>
    <w:p w14:paraId="0A8AACF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公告：基金管理人更换后，由基金托管人在更换基金管理人的基金份额持有人大会决议生效后2日内在规定媒介公告；</w:t>
      </w:r>
    </w:p>
    <w:p w14:paraId="051B4A5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交接：基金管理人职责终止的，基金管理人应妥善保管基金管理业务资</w:t>
      </w:r>
      <w:r>
        <w:rPr>
          <w:rFonts w:ascii="宋体" w:hAnsi="宋体" w:cs="宋体"/>
          <w:kern w:val="0"/>
          <w:sz w:val="24"/>
          <w:szCs w:val="24"/>
        </w:rPr>
        <w:lastRenderedPageBreak/>
        <w:t>料，及时向临时基金管理人或新任基金管理人办理基金管理业务的移交手续，临时基金管理人或新任基金管理人应及时接收。临时基金管理人或新任基金管理人应与基金托管人核对基金资产总值和基金资产净值；</w:t>
      </w:r>
    </w:p>
    <w:p w14:paraId="02FEC83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审计：基金管理人职责终止的，应当按照法律法规规定聘请符合《中华人民共和国证券法》规定的会计师事务所对基金财产进行审计，并将审计结果予以公告，同时报中国证监会备案，审计费用从基金财产中列支；</w:t>
      </w:r>
    </w:p>
    <w:p w14:paraId="0352AD3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基金名称变更：基金管理人更换后，如果原任或新任基金管理人要求，应按其要求替换或删除基金名称中与原任基金管理人有关的名称字样。</w:t>
      </w:r>
    </w:p>
    <w:p w14:paraId="15CBA6F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基金托管人的更换程序</w:t>
      </w:r>
    </w:p>
    <w:p w14:paraId="40D0507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提名：新任基金托管人由基金管理人或由单独或合计持有10%以上（含10%）基金份额的基金份额持有人提名；</w:t>
      </w:r>
    </w:p>
    <w:p w14:paraId="12AC1D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7002DB8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临时基金托管人：新任基金托管人产生之前，由中国证监会指定临时基金托管人；</w:t>
      </w:r>
    </w:p>
    <w:p w14:paraId="38ADFE3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备案：基金份额持有人大会更换基金托管人的决议须报中国证监会备案；</w:t>
      </w:r>
    </w:p>
    <w:p w14:paraId="05FDD11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公告：基金托管人更换后，由基金管理人在更换基金托管人的基金份额持有人大会决议生效后2日内在规定媒介公告；</w:t>
      </w:r>
    </w:p>
    <w:p w14:paraId="754BC5D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交接：基金托管人职责终止的，应当妥善保管基金财产和基金托管业务资料，及时办理基金财产和基金托管业务的移交手续，新任基金托管人或者临时基金托管人应当及时接收。临时基金托管人或新任基金托管人与基金管理人核对基金资产总值和基金资产净值；</w:t>
      </w:r>
    </w:p>
    <w:p w14:paraId="76F1721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审计：基金托管人职责终止的，应当按照法律法规规定聘请符合《中华人民共和国证券法》规定的会计师事务所对基金财产进行审计，并将审计结果予以公告，同时报中国证监会备案，审计费用从基金财产中列支。</w:t>
      </w:r>
    </w:p>
    <w:p w14:paraId="27B2C3F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基金管理人与基金托管人同时更换的条件和程序</w:t>
      </w:r>
    </w:p>
    <w:p w14:paraId="1015561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提名：如果基金管理人和基金托管人同时更换，由单独或合计持有基金</w:t>
      </w:r>
      <w:r>
        <w:rPr>
          <w:rFonts w:ascii="宋体" w:hAnsi="宋体" w:cs="宋体"/>
          <w:kern w:val="0"/>
          <w:sz w:val="24"/>
          <w:szCs w:val="24"/>
        </w:rPr>
        <w:lastRenderedPageBreak/>
        <w:t>总份额10%以上（含10%）的基金份额持有人提名新的基金管理人和基金托管人；</w:t>
      </w:r>
    </w:p>
    <w:p w14:paraId="1D957FE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基金管理人和基金托管人的更换分别按上述程序进行；</w:t>
      </w:r>
    </w:p>
    <w:p w14:paraId="0B57E9C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公告：新任基金管理人和新任基金托管人应在更换基金管理人和基金托管人的基金份额持有人大会决议生效后2日内在规定媒介上联合公告。</w:t>
      </w:r>
    </w:p>
    <w:p w14:paraId="46B0479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新任基金管理人或临时基金管理人接收基金管理业务，或新任基金托管人或临时基金托管人接收基金财产和基金托管业务前，原基金管理人或原基金托管人应依据法律法规和《基金合同》的约定继续履行相关职责，并保证不做出对基金份额持有人的利益造成损害的行为。原基金管理人或原基金托管人在继续履行相关职责期间，仍有权按照《基金合同》的约定收取基金管理费或基金托管费。</w:t>
      </w:r>
    </w:p>
    <w:p w14:paraId="73B8477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r>
        <w:rPr>
          <w:rFonts w:ascii="宋体" w:hAnsi="宋体" w:cs="宋体"/>
          <w:kern w:val="0"/>
          <w:sz w:val="24"/>
          <w:szCs w:val="24"/>
        </w:rPr>
        <w:br w:type="page"/>
      </w:r>
    </w:p>
    <w:p w14:paraId="7F99D274" w14:textId="77777777" w:rsidR="009D63C8" w:rsidRDefault="009713AD" w:rsidP="009E26D0">
      <w:pPr>
        <w:pStyle w:val="1"/>
        <w:spacing w:before="0" w:after="0"/>
        <w:jc w:val="center"/>
        <w:rPr>
          <w:rFonts w:ascii="Times New Roman"/>
          <w:color w:val="auto"/>
          <w:sz w:val="30"/>
        </w:rPr>
      </w:pPr>
      <w:bookmarkStart w:id="51" w:name="_Toc256000009"/>
      <w:r w:rsidRPr="009E26D0">
        <w:rPr>
          <w:rFonts w:ascii="Times New Roman"/>
          <w:noProof/>
          <w:color w:val="auto"/>
          <w:sz w:val="30"/>
        </w:rPr>
        <w:lastRenderedPageBreak/>
        <w:t>第十部分</w:t>
      </w:r>
      <w:r w:rsidRPr="009E26D0">
        <w:rPr>
          <w:rFonts w:ascii="Times New Roman"/>
          <w:noProof/>
          <w:color w:val="auto"/>
          <w:sz w:val="30"/>
        </w:rPr>
        <w:t xml:space="preserve">  </w:t>
      </w:r>
      <w:r w:rsidRPr="009E26D0">
        <w:rPr>
          <w:rFonts w:ascii="Times New Roman"/>
          <w:noProof/>
          <w:color w:val="auto"/>
          <w:sz w:val="30"/>
        </w:rPr>
        <w:t>基金的托管</w:t>
      </w:r>
      <w:bookmarkEnd w:id="51"/>
    </w:p>
    <w:p w14:paraId="4B2B97AA" w14:textId="77777777" w:rsidR="007A2B34" w:rsidRPr="0017353E" w:rsidRDefault="007A2B34" w:rsidP="0090469D"/>
    <w:p w14:paraId="6266216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基金托管人和基金管理人按照《基金法》、《基金合同》及其他有关规定订立托管协议。</w:t>
      </w:r>
    </w:p>
    <w:p w14:paraId="031C8C0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r>
        <w:rPr>
          <w:rFonts w:ascii="宋体" w:hAnsi="宋体" w:cs="宋体"/>
          <w:kern w:val="0"/>
          <w:sz w:val="24"/>
          <w:szCs w:val="24"/>
        </w:rPr>
        <w:br w:type="page"/>
      </w:r>
    </w:p>
    <w:p w14:paraId="79344B3E" w14:textId="77777777" w:rsidR="009D63C8" w:rsidRDefault="009713AD" w:rsidP="009E26D0">
      <w:pPr>
        <w:pStyle w:val="1"/>
        <w:spacing w:before="0" w:after="0"/>
        <w:jc w:val="center"/>
        <w:rPr>
          <w:rFonts w:ascii="Times New Roman"/>
          <w:color w:val="auto"/>
          <w:sz w:val="30"/>
        </w:rPr>
      </w:pPr>
      <w:bookmarkStart w:id="52" w:name="_Toc256000010"/>
      <w:r w:rsidRPr="009E26D0">
        <w:rPr>
          <w:rFonts w:ascii="Times New Roman"/>
          <w:noProof/>
          <w:color w:val="auto"/>
          <w:sz w:val="30"/>
        </w:rPr>
        <w:lastRenderedPageBreak/>
        <w:t>第十一部分</w:t>
      </w:r>
      <w:r w:rsidRPr="009E26D0">
        <w:rPr>
          <w:rFonts w:ascii="Times New Roman"/>
          <w:noProof/>
          <w:color w:val="auto"/>
          <w:sz w:val="30"/>
        </w:rPr>
        <w:t xml:space="preserve">  </w:t>
      </w:r>
      <w:r w:rsidRPr="009E26D0">
        <w:rPr>
          <w:rFonts w:ascii="Times New Roman"/>
          <w:noProof/>
          <w:color w:val="auto"/>
          <w:sz w:val="30"/>
        </w:rPr>
        <w:t>基金份额的登记</w:t>
      </w:r>
      <w:bookmarkEnd w:id="52"/>
    </w:p>
    <w:p w14:paraId="663788E7" w14:textId="77777777" w:rsidR="007A2B34" w:rsidRPr="0017353E" w:rsidRDefault="007A2B34" w:rsidP="0090469D"/>
    <w:p w14:paraId="7B8BEEB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基金份额的登记业务</w:t>
      </w:r>
    </w:p>
    <w:p w14:paraId="4252CD49"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7D9A307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基金登记业务办理机构</w:t>
      </w:r>
    </w:p>
    <w:p w14:paraId="1F4292B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w:t>
      </w:r>
      <w:r>
        <w:rPr>
          <w:rStyle w:val="custom"/>
          <w:rFonts w:ascii="宋体" w:hAnsi="宋体" w:cs="宋体"/>
          <w:kern w:val="0"/>
          <w:sz w:val="24"/>
          <w:szCs w:val="24"/>
        </w:rPr>
        <w:t>以明确基金管理人和代理机构在投资者基金账户管理、</w:t>
      </w:r>
      <w:r>
        <w:rPr>
          <w:rFonts w:ascii="宋体" w:hAnsi="宋体" w:cs="宋体"/>
          <w:kern w:val="0"/>
          <w:sz w:val="24"/>
          <w:szCs w:val="24"/>
        </w:rPr>
        <w:t>基金份额登记、清算及基金交易确认、发放红利、建立并保管基金份额持有人名册等事宜中的权利和义务，保护基金份额持有人的合法权益。</w:t>
      </w:r>
    </w:p>
    <w:p w14:paraId="58021FC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基金登记机构的权利</w:t>
      </w:r>
    </w:p>
    <w:p w14:paraId="648B390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基金登记机构享有以下权利：</w:t>
      </w:r>
    </w:p>
    <w:p w14:paraId="4C18239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取得登记费；</w:t>
      </w:r>
    </w:p>
    <w:p w14:paraId="551AA528"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2、</w:t>
      </w:r>
      <w:r>
        <w:rPr>
          <w:rFonts w:ascii="宋体" w:hAnsi="宋体" w:cs="宋体"/>
          <w:kern w:val="0"/>
          <w:sz w:val="24"/>
          <w:szCs w:val="24"/>
        </w:rPr>
        <w:t>建立和管理投资者</w:t>
      </w:r>
      <w:r>
        <w:rPr>
          <w:rStyle w:val="custom"/>
          <w:rFonts w:ascii="宋体" w:hAnsi="宋体" w:cs="宋体"/>
          <w:kern w:val="0"/>
          <w:sz w:val="24"/>
          <w:szCs w:val="24"/>
        </w:rPr>
        <w:t>基金账户</w:t>
      </w:r>
      <w:r>
        <w:rPr>
          <w:rFonts w:ascii="宋体" w:hAnsi="宋体" w:cs="宋体"/>
          <w:kern w:val="0"/>
          <w:sz w:val="24"/>
          <w:szCs w:val="24"/>
        </w:rPr>
        <w:t>；</w:t>
      </w:r>
    </w:p>
    <w:p w14:paraId="7A3EE40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保管基金份额持有人开户资料、交易资料、基金份额持有人名册等；</w:t>
      </w:r>
    </w:p>
    <w:p w14:paraId="59BF652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在法律法规允许的范围内，对登记业务的办理时间进行调整，并依照有关规定于开始实施前在规定媒介上公告；</w:t>
      </w:r>
    </w:p>
    <w:p w14:paraId="1E980CB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法律法规及中国证监会规定的和《基金合同》约定的其他权利。</w:t>
      </w:r>
    </w:p>
    <w:p w14:paraId="4A2BAA6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基金登记机构的义务</w:t>
      </w:r>
    </w:p>
    <w:p w14:paraId="0834416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基金登记机构承担以下义务：</w:t>
      </w:r>
    </w:p>
    <w:p w14:paraId="57BDD10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配备足够的专业人员办理本基金份额的登记业务；</w:t>
      </w:r>
    </w:p>
    <w:p w14:paraId="2809C84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严格按照法律法规和《基金合同》规定的条件办理本基金份额的登记业务；</w:t>
      </w:r>
    </w:p>
    <w:p w14:paraId="1A5401A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妥善保存登记数据，并将基金份额持有人名称、身份信息及基金份额明细等数据备份至中国证监会认定的机构。其保存期限自基金账户销户之日起不得少于20年；</w:t>
      </w:r>
    </w:p>
    <w:p w14:paraId="23CFA182" w14:textId="77777777" w:rsidR="00A71A93" w:rsidRDefault="009713AD">
      <w:pPr>
        <w:pStyle w:val="div"/>
        <w:spacing w:line="360" w:lineRule="auto"/>
        <w:ind w:firstLine="420"/>
        <w:rPr>
          <w:rFonts w:eastAsia="Times New Roman"/>
          <w:kern w:val="0"/>
          <w:sz w:val="24"/>
          <w:szCs w:val="24"/>
        </w:rPr>
      </w:pPr>
      <w:r>
        <w:rPr>
          <w:rStyle w:val="serial-tag"/>
          <w:rFonts w:ascii="宋体" w:hAnsi="宋体" w:cs="宋体"/>
          <w:kern w:val="0"/>
          <w:sz w:val="24"/>
          <w:szCs w:val="24"/>
        </w:rPr>
        <w:lastRenderedPageBreak/>
        <w:t>4、</w:t>
      </w:r>
      <w:r>
        <w:rPr>
          <w:rFonts w:ascii="宋体" w:hAnsi="宋体" w:cs="宋体"/>
          <w:kern w:val="0"/>
          <w:sz w:val="24"/>
          <w:szCs w:val="24"/>
        </w:rPr>
        <w:t>对基金份额持有人的</w:t>
      </w:r>
      <w:r>
        <w:rPr>
          <w:rStyle w:val="custom"/>
          <w:rFonts w:ascii="宋体" w:hAnsi="宋体" w:cs="宋体"/>
          <w:kern w:val="0"/>
          <w:sz w:val="24"/>
          <w:szCs w:val="24"/>
        </w:rPr>
        <w:t>基金账户信息</w:t>
      </w:r>
      <w:r>
        <w:rPr>
          <w:rFonts w:ascii="宋体" w:hAnsi="宋体" w:cs="宋体"/>
          <w:kern w:val="0"/>
          <w:sz w:val="24"/>
          <w:szCs w:val="24"/>
        </w:rPr>
        <w:t>负有保密义务，因违反该保密义务对投资者或基金带来的损失，须承担相应的赔偿责任，但司法强制检查情形及法律法规及中国证监会规定的和《基金合同》约定的其他情形除外；</w:t>
      </w:r>
    </w:p>
    <w:p w14:paraId="6F73C32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按《基金合同》及招募说明书规定为投资者办理非交易过户业务、提供其他必要的服务；</w:t>
      </w:r>
    </w:p>
    <w:p w14:paraId="4712A19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接受基金管理人的监督；</w:t>
      </w:r>
    </w:p>
    <w:p w14:paraId="30CDB90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14:paraId="5F412573" w14:textId="77777777" w:rsidR="009D63C8" w:rsidRDefault="009713AD" w:rsidP="009E26D0">
      <w:pPr>
        <w:pStyle w:val="1"/>
        <w:spacing w:before="0" w:after="0"/>
        <w:jc w:val="center"/>
        <w:rPr>
          <w:rFonts w:ascii="Times New Roman"/>
          <w:color w:val="auto"/>
          <w:sz w:val="30"/>
        </w:rPr>
      </w:pPr>
      <w:bookmarkStart w:id="53" w:name="_Toc256000011"/>
      <w:r w:rsidRPr="009E26D0">
        <w:rPr>
          <w:rFonts w:ascii="Times New Roman"/>
          <w:noProof/>
          <w:color w:val="auto"/>
          <w:sz w:val="30"/>
        </w:rPr>
        <w:lastRenderedPageBreak/>
        <w:t>第十二部分</w:t>
      </w:r>
      <w:r w:rsidRPr="009E26D0">
        <w:rPr>
          <w:rFonts w:ascii="Times New Roman"/>
          <w:noProof/>
          <w:color w:val="auto"/>
          <w:sz w:val="30"/>
        </w:rPr>
        <w:t xml:space="preserve">  </w:t>
      </w:r>
      <w:r w:rsidRPr="009E26D0">
        <w:rPr>
          <w:rFonts w:ascii="Times New Roman"/>
          <w:noProof/>
          <w:color w:val="auto"/>
          <w:sz w:val="30"/>
        </w:rPr>
        <w:t>基金的投资</w:t>
      </w:r>
      <w:bookmarkEnd w:id="53"/>
    </w:p>
    <w:p w14:paraId="6146A509" w14:textId="77777777" w:rsidR="007A2B34" w:rsidRPr="0017353E" w:rsidRDefault="007A2B34" w:rsidP="0090469D"/>
    <w:p w14:paraId="6E36389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投资目标</w:t>
      </w:r>
    </w:p>
    <w:p w14:paraId="3124D48A"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本基金为股票型指数增强基金，在对标的指数进行有效跟踪的被动投资基础上，结合增强型的主动投资，进行积极的组合管理和风险控制，力求实现超越标的指数的业绩表现，谋求基金资产的长期增值。</w:t>
      </w:r>
    </w:p>
    <w:p w14:paraId="6CFA7F1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投资范围</w:t>
      </w:r>
    </w:p>
    <w:p w14:paraId="60EA375F"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本基金的投资范围为具有良好流动性的金融工具，包括国内依法发行上市的股票（含主板、</w:t>
      </w:r>
      <w:r w:rsidR="00ED4B30">
        <w:rPr>
          <w:rStyle w:val="custom"/>
          <w:rFonts w:ascii="宋体" w:hAnsi="宋体" w:cs="宋体" w:hint="eastAsia"/>
          <w:kern w:val="0"/>
          <w:sz w:val="24"/>
          <w:szCs w:val="24"/>
        </w:rPr>
        <w:t>科创板、</w:t>
      </w:r>
      <w:r>
        <w:rPr>
          <w:rStyle w:val="custom"/>
          <w:rFonts w:ascii="宋体" w:hAnsi="宋体" w:cs="宋体"/>
          <w:kern w:val="0"/>
          <w:sz w:val="24"/>
          <w:szCs w:val="24"/>
        </w:rPr>
        <w:t>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w:t>
      </w:r>
      <w:r>
        <w:rPr>
          <w:rFonts w:ascii="宋体" w:hAnsi="宋体" w:cs="宋体"/>
          <w:kern w:val="0"/>
          <w:sz w:val="24"/>
          <w:szCs w:val="24"/>
        </w:rPr>
        <w:t>债券回购、同业存单、银行存款（包含协议存款、定期存款及其他银行存款）、货币市场工具以及法律法规或中国证监会允许基金投资的其他金融工具</w:t>
      </w:r>
      <w:r>
        <w:rPr>
          <w:rStyle w:val="custom"/>
          <w:rFonts w:ascii="宋体" w:hAnsi="宋体" w:cs="宋体"/>
          <w:kern w:val="0"/>
          <w:sz w:val="24"/>
          <w:szCs w:val="24"/>
        </w:rPr>
        <w:t>(</w:t>
      </w:r>
      <w:r>
        <w:rPr>
          <w:rFonts w:ascii="宋体" w:hAnsi="宋体" w:cs="宋体"/>
          <w:kern w:val="0"/>
          <w:sz w:val="24"/>
          <w:szCs w:val="24"/>
        </w:rPr>
        <w:t>但须符合中国证监会相关规定</w:t>
      </w:r>
      <w:r>
        <w:rPr>
          <w:rStyle w:val="custom"/>
          <w:rFonts w:ascii="宋体" w:hAnsi="宋体" w:cs="宋体"/>
          <w:kern w:val="0"/>
          <w:sz w:val="24"/>
          <w:szCs w:val="24"/>
        </w:rPr>
        <w:t>)</w:t>
      </w:r>
      <w:r>
        <w:rPr>
          <w:rFonts w:ascii="宋体" w:hAnsi="宋体" w:cs="宋体"/>
          <w:kern w:val="0"/>
          <w:sz w:val="24"/>
          <w:szCs w:val="24"/>
        </w:rPr>
        <w:t>。</w:t>
      </w:r>
    </w:p>
    <w:p w14:paraId="145B2356"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本基金还可根据法律法规参与融资及转融通证券出借业务。</w:t>
      </w:r>
    </w:p>
    <w:p w14:paraId="07675C5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14:paraId="234DE44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基金的投资组合比例为：</w:t>
      </w:r>
      <w:r>
        <w:rPr>
          <w:rStyle w:val="custom"/>
          <w:rFonts w:ascii="宋体" w:hAnsi="宋体" w:cs="宋体"/>
          <w:kern w:val="0"/>
          <w:sz w:val="24"/>
          <w:szCs w:val="24"/>
        </w:rPr>
        <w:t>本基金投资于股票的资产不低于基金资产的80%，投资于标的指数成份股及其备选成份股的比例不低于非现金基金资产的80%。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w:t>
      </w:r>
      <w:r>
        <w:rPr>
          <w:rFonts w:ascii="宋体" w:hAnsi="宋体" w:cs="宋体"/>
          <w:kern w:val="0"/>
          <w:sz w:val="24"/>
          <w:szCs w:val="24"/>
        </w:rPr>
        <w:t>其中现金不包括结算备付金、存出保证金、应收申购款等。</w:t>
      </w:r>
    </w:p>
    <w:p w14:paraId="7E3C130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14:paraId="61B297B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投资策略</w:t>
      </w:r>
    </w:p>
    <w:p w14:paraId="1B73D6F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本基金采用指数增强型投资策略，以中证全指指数作为基金投资组合的标的</w:t>
      </w:r>
      <w:r>
        <w:rPr>
          <w:rStyle w:val="custom"/>
          <w:rFonts w:ascii="宋体" w:hAnsi="宋体" w:cs="宋体"/>
          <w:kern w:val="0"/>
          <w:sz w:val="24"/>
          <w:szCs w:val="24"/>
        </w:rPr>
        <w:lastRenderedPageBreak/>
        <w:t>指数，结合深入的宏观面、基本面研究及数量化投资技术，在指数化投资基础上优化调整投资组合，力争控制本基金净值增长率与业绩比较基准之间的日均跟踪偏离度的绝对值不超过0.5%，年跟踪误差不超过8.00%，力求实现高于标的指数的投资收益和基金资产的长期增值。</w:t>
      </w:r>
    </w:p>
    <w:p w14:paraId="4609DEF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股票投资策略为本基金的核心策略。本基金股票投资以个股精选策略为主。在本基金的投资过程中，将控制股票投资组合与标的指数的结构性偏离，以期在长期实现持续超越标的指数收益率的投资目标。</w:t>
      </w:r>
    </w:p>
    <w:p w14:paraId="03BBE73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本基金运作过程中，当标的指数成份股发生明显负面事件面临退市，且指数编制机构暂未作出调整的，基金管理人应当按照基金份额持有人利益优先的原则，履行内部决策程序后及时对相关成份股进行调整。</w:t>
      </w:r>
    </w:p>
    <w:p w14:paraId="5AA25DB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sidR="00C6148C">
        <w:rPr>
          <w:rStyle w:val="custom"/>
          <w:rFonts w:ascii="宋体" w:hAnsi="宋体" w:cs="宋体" w:hint="eastAsia"/>
          <w:kern w:val="0"/>
          <w:sz w:val="24"/>
          <w:szCs w:val="24"/>
        </w:rPr>
        <w:t>、</w:t>
      </w:r>
      <w:r>
        <w:rPr>
          <w:rStyle w:val="custom"/>
          <w:rFonts w:ascii="宋体" w:hAnsi="宋体" w:cs="宋体"/>
          <w:kern w:val="0"/>
          <w:sz w:val="24"/>
          <w:szCs w:val="24"/>
        </w:rPr>
        <w:t>资产配置策略</w:t>
      </w:r>
    </w:p>
    <w:p w14:paraId="21F1C71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以追求基金资产收益长期增长为目标，根据宏观经济趋势、市场政策、资产估值水平、外围主要经济体宏观经济和资本市场的运行状况等因素的变化在本基金的投资范围内进行适度动态配置，在控制基金跟踪误差的前提下，谋求在偏离风险和超额收益间的最佳配置。</w:t>
      </w:r>
    </w:p>
    <w:p w14:paraId="536F8B21"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sidR="00C6148C">
        <w:rPr>
          <w:rStyle w:val="custom"/>
          <w:rFonts w:ascii="宋体" w:hAnsi="宋体" w:cs="宋体" w:hint="eastAsia"/>
          <w:kern w:val="0"/>
          <w:sz w:val="24"/>
          <w:szCs w:val="24"/>
        </w:rPr>
        <w:t>、</w:t>
      </w:r>
      <w:r>
        <w:rPr>
          <w:rStyle w:val="custom"/>
          <w:rFonts w:ascii="宋体" w:hAnsi="宋体" w:cs="宋体"/>
          <w:kern w:val="0"/>
          <w:sz w:val="24"/>
          <w:szCs w:val="24"/>
        </w:rPr>
        <w:t>股票投资策略</w:t>
      </w:r>
    </w:p>
    <w:p w14:paraId="79395FA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主要通过主动精选个股，选取并持有基本面良好的股票构成投资组合，在控制组合跟踪误差的基础上，力争实现超越业绩比较基准的投资回报。本基金所跟踪的标的指数为中证全指指数，在满足投资比例要求基础上，本基金将在允许的投资范围内，进行成份股优化增强、非成份股优选增强对组合进行优化。具体来说，股票投资采用定量和定性分析相结合的策略选取基本面良好的股票，在保持对</w:t>
      </w:r>
      <w:r w:rsidR="005F4650">
        <w:rPr>
          <w:rStyle w:val="custom"/>
          <w:rFonts w:ascii="宋体" w:hAnsi="宋体" w:cs="宋体" w:hint="eastAsia"/>
          <w:kern w:val="0"/>
          <w:sz w:val="24"/>
          <w:szCs w:val="24"/>
        </w:rPr>
        <w:t>标的</w:t>
      </w:r>
      <w:r>
        <w:rPr>
          <w:rStyle w:val="custom"/>
          <w:rFonts w:ascii="宋体" w:hAnsi="宋体" w:cs="宋体"/>
          <w:kern w:val="0"/>
          <w:sz w:val="24"/>
          <w:szCs w:val="24"/>
        </w:rPr>
        <w:t>指数有效跟踪的同时，力争实现对</w:t>
      </w:r>
      <w:r w:rsidR="005F4650">
        <w:rPr>
          <w:rStyle w:val="custom"/>
          <w:rFonts w:ascii="宋体" w:hAnsi="宋体" w:cs="宋体" w:hint="eastAsia"/>
          <w:kern w:val="0"/>
          <w:sz w:val="24"/>
          <w:szCs w:val="24"/>
        </w:rPr>
        <w:t>标的</w:t>
      </w:r>
      <w:r>
        <w:rPr>
          <w:rStyle w:val="custom"/>
          <w:rFonts w:ascii="宋体" w:hAnsi="宋体" w:cs="宋体"/>
          <w:kern w:val="0"/>
          <w:sz w:val="24"/>
          <w:szCs w:val="24"/>
        </w:rPr>
        <w:t>指数的长期超越。</w:t>
      </w:r>
    </w:p>
    <w:p w14:paraId="291794BD"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1）定性分析</w:t>
      </w:r>
    </w:p>
    <w:p w14:paraId="08B1CEE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在定性分析方面，本基金将精选公司治理优良、竞争优势突出、行业前景光明、盈利稳定增长的优质上市公司。具体而言，主要考虑以下几方面因素：</w:t>
      </w:r>
    </w:p>
    <w:p w14:paraId="285C6A1D"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①治理结构、公司管理层和财务状况评价</w:t>
      </w:r>
    </w:p>
    <w:p w14:paraId="7C5F925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主要从股东结构和激励约束机制两方面对公司治理进行分析。股东结构主要从股东背景、股权变更情况、关联交易、独立性等方面予以考察，激励约束机制则从股权激励、管理层与股东利益的一致性等方面考察。</w:t>
      </w:r>
    </w:p>
    <w:p w14:paraId="797E934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本基金将致力于寻找中国优秀的企业家以及其管理的企业。优秀的企业家具备出色的经营才能，而且怀着清晰、长期的愿景，充满激情，不懈努力，执行力强。</w:t>
      </w:r>
    </w:p>
    <w:p w14:paraId="07E441E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本基金投资标的的财务状况应当健康和稳健。通过对目标企业的资产负债、损益、现金流量的分析，评估企业盈利能力、营运能力、偿债能力及增长能力等财务状况。</w:t>
      </w:r>
    </w:p>
    <w:p w14:paraId="5AC0857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②企业竞争优势评估</w:t>
      </w:r>
    </w:p>
    <w:p w14:paraId="26CE1F6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企业竞争优势评估主要从生产、市场、技术和政策环境等四方面进行分析。生产优势集中体现在能以相对更低的成本为顾客提供更好的产品或服务。市场优势主要表现在产品线、营销渠道及品牌竞争力三方面。技术优势从专利权及知识产权保护、研究开发两方面考察。政策环境主要关注所在行业是否符合国家产业政策的方向。</w:t>
      </w:r>
    </w:p>
    <w:p w14:paraId="4C98343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③行业背景和商业模式分析</w:t>
      </w:r>
    </w:p>
    <w:p w14:paraId="06192FB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主要从行业集中度和行业地位两方面对行业背景进行分析，优选具有较好的行业集中度及行业地位，并具备独特核心竞争优势的企业。企业所在行业有一定的集中度，其主导产品的市场份额高于市场平均水准，而且在经营许可、规模、资源、技术、品牌、创新能力等一个或数个方面具有竞争对手在中长期时间内难以模仿的优势。</w:t>
      </w:r>
    </w:p>
    <w:p w14:paraId="0F47C59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优秀的商业模式通常有以下两种：第一，较强的定价能力，在行业地位领先且稳固，对上下游具有较强的议价能力，能够通过不断提升产品价格或降低成本以提高盈利能力，即使在宏观经济向下的阶段，能够通过控制产量等方式延缓甚至避免价格的下跌；第二，扩张成本低，即利润增长对资本的需求和依赖较低，表现在财务数据上就是净资产收益率高，很少或者几乎不需要股权融资就可以实现较高增长，最好商业模式能够较快复制，能够以较快的速度形成规模效益。</w:t>
      </w:r>
    </w:p>
    <w:p w14:paraId="4F72EF7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2）定量分析</w:t>
      </w:r>
    </w:p>
    <w:p w14:paraId="075A87D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在定量分析方面，本基金使用多因子量化选股模型挖掘影响个股超额收益的因素；通过风险</w:t>
      </w:r>
      <w:r w:rsidR="00C6148C">
        <w:rPr>
          <w:rStyle w:val="custom"/>
          <w:rFonts w:ascii="宋体" w:hAnsi="宋体" w:cs="宋体" w:hint="eastAsia"/>
          <w:kern w:val="0"/>
          <w:sz w:val="24"/>
          <w:szCs w:val="24"/>
        </w:rPr>
        <w:t>控制</w:t>
      </w:r>
      <w:r>
        <w:rPr>
          <w:rStyle w:val="custom"/>
          <w:rFonts w:ascii="宋体" w:hAnsi="宋体" w:cs="宋体"/>
          <w:kern w:val="0"/>
          <w:sz w:val="24"/>
          <w:szCs w:val="24"/>
        </w:rPr>
        <w:t>模型衡量和控制组合相对基准的跟踪误差，降低个股投资风险；通过交易成本控制模型减少交易成本；通过组合构建模型结合定性分析和量化模型的结论，综合获利机会、风险、交易成本等各方面因素，动态</w:t>
      </w:r>
      <w:r w:rsidR="002E4136">
        <w:rPr>
          <w:rStyle w:val="custom"/>
          <w:rFonts w:ascii="宋体" w:hAnsi="宋体" w:cs="宋体" w:hint="eastAsia"/>
          <w:kern w:val="0"/>
          <w:sz w:val="24"/>
          <w:szCs w:val="24"/>
        </w:rPr>
        <w:t>构建</w:t>
      </w:r>
      <w:r>
        <w:rPr>
          <w:rStyle w:val="custom"/>
          <w:rFonts w:ascii="宋体" w:hAnsi="宋体" w:cs="宋体"/>
          <w:kern w:val="0"/>
          <w:sz w:val="24"/>
          <w:szCs w:val="24"/>
        </w:rPr>
        <w:t>组合。</w:t>
      </w:r>
    </w:p>
    <w:p w14:paraId="371B3A5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①使用多因子</w:t>
      </w:r>
      <w:r w:rsidR="008025B8">
        <w:rPr>
          <w:rStyle w:val="custom"/>
          <w:rFonts w:ascii="宋体" w:hAnsi="宋体" w:cs="宋体" w:hint="eastAsia"/>
          <w:kern w:val="0"/>
          <w:sz w:val="24"/>
          <w:szCs w:val="24"/>
        </w:rPr>
        <w:t>量化选股</w:t>
      </w:r>
      <w:r>
        <w:rPr>
          <w:rStyle w:val="custom"/>
          <w:rFonts w:ascii="宋体" w:hAnsi="宋体" w:cs="宋体"/>
          <w:kern w:val="0"/>
          <w:sz w:val="24"/>
          <w:szCs w:val="24"/>
        </w:rPr>
        <w:t>模型发掘定价偏离</w:t>
      </w:r>
    </w:p>
    <w:p w14:paraId="2A9A34F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本基金基金管理人</w:t>
      </w:r>
      <w:r w:rsidR="00751CC2">
        <w:rPr>
          <w:rStyle w:val="custom"/>
          <w:rFonts w:ascii="宋体" w:hAnsi="宋体" w:cs="宋体"/>
          <w:kern w:val="0"/>
          <w:sz w:val="24"/>
          <w:szCs w:val="24"/>
        </w:rPr>
        <w:t>开发的多因子量化选股模型，通过数量技术对历史数据进行深入研究，发掘影响证券价格的各类因子，在投资中利用这些因子对股票进行综合评分，选入预期收益较高的股票，剔除可能存在下行风险的股票。</w:t>
      </w:r>
    </w:p>
    <w:p w14:paraId="78EF7A6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使用的因子主要包括公司基本面信息、市场一致预期和微观价格数据等，主要集中在质量、成长、预期、价值、市场面这几个大类，每一类因子由多个选股指标组成，各选股指标以投资逻辑为基础，经过反复提炼和验证，具备一定的选股能力。</w:t>
      </w:r>
    </w:p>
    <w:p w14:paraId="163830A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②通过风险控制模型衡量和控制风险</w:t>
      </w:r>
    </w:p>
    <w:p w14:paraId="04AFC2D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通过风险控制模型衡量和控制组合相对业绩比较基准在子行业、风格、个股方面的风险暴露，努力控制相对业绩比较基准的跟踪误差，力争避免在某些市场环境下较大幅落后于标的指数，通过使用个股风险筛查模型降低个股投资风险。</w:t>
      </w:r>
    </w:p>
    <w:p w14:paraId="65D2D78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③使用定量技术减少交易成本</w:t>
      </w:r>
    </w:p>
    <w:p w14:paraId="64A3F21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在组合构建时将分析个股的流动性，在此基础上限制个股的权重；本基金在组合调整时将综合比较组合调整带来的潜在收益和组合调整的成本，避免不必要的交易；本基金在交易时将利用交易技术尽可能减少市场冲击，降低交易成本。</w:t>
      </w:r>
    </w:p>
    <w:p w14:paraId="008B7391"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④综合衡量获利机会、风险因素、交易成本，动态</w:t>
      </w:r>
      <w:r w:rsidR="005073F9">
        <w:rPr>
          <w:rStyle w:val="custom"/>
          <w:rFonts w:ascii="宋体" w:hAnsi="宋体" w:cs="宋体" w:hint="eastAsia"/>
          <w:kern w:val="0"/>
          <w:sz w:val="24"/>
          <w:szCs w:val="24"/>
        </w:rPr>
        <w:t>构建</w:t>
      </w:r>
      <w:r>
        <w:rPr>
          <w:rStyle w:val="custom"/>
          <w:rFonts w:ascii="宋体" w:hAnsi="宋体" w:cs="宋体"/>
          <w:kern w:val="0"/>
          <w:sz w:val="24"/>
          <w:szCs w:val="24"/>
        </w:rPr>
        <w:t>组合</w:t>
      </w:r>
    </w:p>
    <w:p w14:paraId="00DD23E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除了在价格发现、风险控制、交易技术等方面进行深入挖掘外，本基金将综合这些因素之间的相互联系，进行整体考虑后动态</w:t>
      </w:r>
      <w:r w:rsidR="0016555B">
        <w:rPr>
          <w:rStyle w:val="custom"/>
          <w:rFonts w:ascii="宋体" w:hAnsi="宋体" w:cs="宋体" w:hint="eastAsia"/>
          <w:kern w:val="0"/>
          <w:sz w:val="24"/>
          <w:szCs w:val="24"/>
        </w:rPr>
        <w:t>构建</w:t>
      </w:r>
      <w:r>
        <w:rPr>
          <w:rStyle w:val="custom"/>
          <w:rFonts w:ascii="宋体" w:hAnsi="宋体" w:cs="宋体"/>
          <w:kern w:val="0"/>
          <w:sz w:val="24"/>
          <w:szCs w:val="24"/>
        </w:rPr>
        <w:t>组合。</w:t>
      </w:r>
    </w:p>
    <w:p w14:paraId="3EB7C89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3、港股通标的股票的投资策略</w:t>
      </w:r>
    </w:p>
    <w:p w14:paraId="2B96FC2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考虑到香港股票市场与A股股票市场的差异，对于港股通标的股票，本基金除按照上述“自下而上”的个股精选策略，还将结合公司基本面、国内经济和相关行业发展前景、香港市场资金面和投资者行为，以及世界主要经济体经济发展前景和货币政策、主流资本市场对投资者的相对吸引力等因素，精选符合本基金投资目标的</w:t>
      </w:r>
      <w:r w:rsidR="009E420A">
        <w:rPr>
          <w:rStyle w:val="custom"/>
          <w:rFonts w:ascii="宋体" w:hAnsi="宋体" w:cs="宋体" w:hint="eastAsia"/>
          <w:kern w:val="0"/>
          <w:sz w:val="24"/>
          <w:szCs w:val="24"/>
        </w:rPr>
        <w:t>港股通标的</w:t>
      </w:r>
      <w:r>
        <w:rPr>
          <w:rStyle w:val="custom"/>
          <w:rFonts w:ascii="宋体" w:hAnsi="宋体" w:cs="宋体"/>
          <w:kern w:val="0"/>
          <w:sz w:val="24"/>
          <w:szCs w:val="24"/>
        </w:rPr>
        <w:t>股票。</w:t>
      </w:r>
    </w:p>
    <w:p w14:paraId="5A53D3E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4、存托凭证的投资策略</w:t>
      </w:r>
    </w:p>
    <w:p w14:paraId="5CF55B8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本基金投资存托凭证的策略依照上述境内上市交易的股票投资策略执行。</w:t>
      </w:r>
    </w:p>
    <w:p w14:paraId="4BC5014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5、债券投资策略</w:t>
      </w:r>
    </w:p>
    <w:p w14:paraId="5FCE628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管理人将基于对国内外宏观经济形势的深入分析、国内外财政政策与货币市场政策等因素对债券市场的影响，进行合理的利率预期，判断债券市场的基本走势，制定久期控制下的资产类属配置策略。在债券投资组合构建和管理过程中，本基金管理人将具体采用期限结构配置、市场转换、信用利差和相对价值判断、信用风险评估、现金管理等管理手段进行个券选择。</w:t>
      </w:r>
    </w:p>
    <w:p w14:paraId="0BA679D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6、可转债及可交换债投资策略</w:t>
      </w:r>
    </w:p>
    <w:p w14:paraId="0C9CC15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对于本基金中可转债的投资，本基金主要采用可转债相对价值分析策略。</w:t>
      </w:r>
    </w:p>
    <w:p w14:paraId="74B1DBB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由于可转债兼具债性和股性，其投资风险和收益介于股票和债券之间，可转债相对价值分析策略通过分析不同市场环境下其股性和债性的相对价值，把握可转债的价值走向，选择相应券种，力争获取较高投资收益。</w:t>
      </w:r>
    </w:p>
    <w:p w14:paraId="6647667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其次，在进行可转债筛选时，本基金还对可转债自身的基本面要素进行综合分析，这些基本面要素包括股性特征、债性特征、摊薄率、流动性等，形成对基础股票的价值评估。本基金将可转债自身的基本面分析和其基础股票的基本面分析结合在一起，最终确定投资的品种。</w:t>
      </w:r>
    </w:p>
    <w:p w14:paraId="5C3261F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可交换债券与可转换债券的区别在于换股期间用于交换的股票并非自身新发的股票，而是发行人持有的其他上市公司的股票。可交换债券同样具有债券属性和权益属性，其中债券属性与可转换债券相同，即选择持有可交换债券至到期以获取票面价值和票面利息；而对于权益属性的分析则需关注目标公司的股票价值以及发行人作为股东的换股意愿等。本基金将通过对目标公司股票的投资价值、可交换债券的债券价值、以及条款带来的期权价值等综合分析，进行投资决策。</w:t>
      </w:r>
    </w:p>
    <w:p w14:paraId="13E4CA7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7、资产支持证券投资策略</w:t>
      </w:r>
    </w:p>
    <w:p w14:paraId="4B384EF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宏观经济和基本面分析的基础上，对资产支持证券标的资产的质量和构成、利率风险、信用风险、流动性风险和提前偿付风险等进行分析，评估其相对投资价值并作出相应的投资决策，以在控制风险的前提下尽可能的提高本基金的收益。</w:t>
      </w:r>
    </w:p>
    <w:p w14:paraId="4A3A066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在资产支持证券的选择上，本基金将采取“自上而下”和“自下而上”相结合的策略。“自上而下”投资策略指在平均久期配置策略与期限结构配置策略基础上，本基金运用数量化或定性分析方法对资产支持证券的利率风险、提前偿付</w:t>
      </w:r>
      <w:r>
        <w:rPr>
          <w:rStyle w:val="custom"/>
          <w:rFonts w:ascii="宋体" w:hAnsi="宋体" w:cs="宋体"/>
          <w:kern w:val="0"/>
          <w:sz w:val="24"/>
          <w:szCs w:val="24"/>
        </w:rPr>
        <w:lastRenderedPageBreak/>
        <w:t>风险、流动性风险溢价、税收溢价等因素进行分析，对收益率走势及其收益和风险进行判断。“自下而上”投资策略指运用数量化或定性分析方法对资产池信用风险进行分析和度量，选择风险与收益相匹配的更优品种进行配置。</w:t>
      </w:r>
    </w:p>
    <w:p w14:paraId="2F13E7B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8、股指期货投资策略</w:t>
      </w:r>
    </w:p>
    <w:p w14:paraId="29AC687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指期货将根据风险管理的原则，以套期保值为目的，充分考虑股指期货的收益性、流动性及风险性特征，运用股指期货对冲系统性风险、对冲特殊情况下的流动性风险，如大额申购赎回等，以降低交易成本和组合风险，提高投资效率。</w:t>
      </w:r>
    </w:p>
    <w:p w14:paraId="562F632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9、国债期货投资策略</w:t>
      </w:r>
    </w:p>
    <w:p w14:paraId="72FCDB6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国债期货将根据风险管理的原则，以套期保值为目的，结合对宏观经济形势和政策趋势的判断、对债券市场进行定性和定量分析，对国债期货和现货基差、国债期货的流动性、波动水平等指标进行跟踪监控。</w:t>
      </w:r>
    </w:p>
    <w:p w14:paraId="6979529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10、股票期权投资策略</w:t>
      </w:r>
    </w:p>
    <w:p w14:paraId="6E62147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本基金投资股票期权将按照风险管理的原则，以套期保值为主要目的，结合投资目标、比例限制、风险收益特征以及法律法规的相关限定和要求，确定参与股票期权交易的投资时机和投资比例。</w:t>
      </w:r>
    </w:p>
    <w:p w14:paraId="43B7059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未来如法律法规或监管机构允许基金投资股指期权或其他期权品种，本基金将在履行适当程序后，纳入投资范围并制定相应投资策略，并在招募说明书中更新公告。</w:t>
      </w:r>
    </w:p>
    <w:p w14:paraId="5F5F8531"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11、融资投资策略</w:t>
      </w:r>
    </w:p>
    <w:p w14:paraId="6E85A03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充分考虑风险和收益特征的基础上，审慎参与融资交易。本基金将基于对市场行情和组合风险收益特征的分析，确定投资时机、标的证券以及投资比例。若相关融资业务法律法规和监管要求发生变化，本基金将从其最新规定，在符合本基金投资目标的前提下，依照相关法律法规和监管要求制定融资策略。</w:t>
      </w:r>
    </w:p>
    <w:p w14:paraId="17610C2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12、参与转融通证券出借业务策略</w:t>
      </w:r>
    </w:p>
    <w:p w14:paraId="011C968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为更好地实现投资目标，在加强风险防范并遵守审慎原则的前提下，本基金可根据投资管理的需要参与转融通证券出借业务。本基金将在分析市场环境、投资者类型与结构、基金历史申赎情况、出借证券流动性情况等因素的基础上，合理确定出借证券的范围、期限和比例。</w:t>
      </w:r>
    </w:p>
    <w:p w14:paraId="40C788C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未来，随着投资工具的发展和丰富，本基金可在不改变投资目标和风险收益特征的前提下，相应调整和更新相关投资策略，并在招募说明书更新中公告。</w:t>
      </w:r>
    </w:p>
    <w:p w14:paraId="41D6AB3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投资限制</w:t>
      </w:r>
    </w:p>
    <w:p w14:paraId="6373EE8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组合限制</w:t>
      </w:r>
    </w:p>
    <w:p w14:paraId="71932AD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基金的投资组合应遵循以下限制：</w:t>
      </w:r>
    </w:p>
    <w:p w14:paraId="35DFDDA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（1）本基金投资于股票的资产不低于基金资产的80%，投资于标的指数成份股及其备选成份股的比例不低于非现金基金资产的80%；其中，投资于港股通标的股票的比例不超过股票资产的50%；</w:t>
      </w:r>
    </w:p>
    <w:p w14:paraId="68478EF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w:t>
      </w:r>
      <w:r>
        <w:rPr>
          <w:rFonts w:ascii="宋体" w:hAnsi="宋体" w:cs="宋体"/>
          <w:kern w:val="0"/>
          <w:sz w:val="24"/>
          <w:szCs w:val="24"/>
        </w:rPr>
        <w:t>其中现金不包括结算备付金、存出保证金和应收申购款等；</w:t>
      </w:r>
    </w:p>
    <w:p w14:paraId="1C4442C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（3）本基金持有一家公司发行的证券（同一家公司在内地和香港同时上市的A+H股合并计算），其市值不超过基金资产净值的10％，完全按照有关指数的构成比例进行证券投资的部分不受此限制；</w:t>
      </w:r>
    </w:p>
    <w:p w14:paraId="01C32DE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（4）本基金管理人管理的全部基金持有一家公司发行的证券（同一家公司在内地和香港同时上市的A+H股合并计算），不超过该证券的10％，完全按照有关指数的构成比例进行证券投资的部分不受此限制；</w:t>
      </w:r>
    </w:p>
    <w:p w14:paraId="37C4CDB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（5）本基金投资于同一原始权益人的各类资产支持证券的比例，不得超过基金资产净值的10%；</w:t>
      </w:r>
    </w:p>
    <w:p w14:paraId="1413997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（6）本基金持有的全部资产支持证券，其市值不得超过基金资产净值的20%；</w:t>
      </w:r>
    </w:p>
    <w:p w14:paraId="4EF2D0A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（7）本基金持有的同一(指同一信用级别)资产支持证券的比例，不得超过该资产支持证券规模的10%；</w:t>
      </w:r>
    </w:p>
    <w:p w14:paraId="543C7F5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（8）本基金管理人管理的全部基金投资于同一原始权益人的各类资产支持证券，不得超过其各类资产支持证券合计规模的10%；</w:t>
      </w:r>
    </w:p>
    <w:p w14:paraId="2FEF4963" w14:textId="77777777" w:rsidR="00A71A93" w:rsidRDefault="009713AD">
      <w:pPr>
        <w:pStyle w:val="div"/>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（9）本基金应投资于信用级别评级为</w:t>
      </w:r>
      <w:r>
        <w:rPr>
          <w:rStyle w:val="custom"/>
          <w:rFonts w:eastAsia="Times New Roman"/>
          <w:kern w:val="0"/>
          <w:sz w:val="24"/>
          <w:szCs w:val="24"/>
        </w:rPr>
        <w:t>BBB</w:t>
      </w:r>
      <w:r>
        <w:rPr>
          <w:rStyle w:val="custom"/>
          <w:rFonts w:ascii="宋体" w:hAnsi="宋体" w:cs="宋体"/>
          <w:kern w:val="0"/>
          <w:sz w:val="24"/>
          <w:szCs w:val="24"/>
        </w:rPr>
        <w:t>以上</w:t>
      </w:r>
      <w:r>
        <w:rPr>
          <w:rStyle w:val="custom"/>
          <w:rFonts w:eastAsia="Times New Roman"/>
          <w:kern w:val="0"/>
          <w:sz w:val="24"/>
          <w:szCs w:val="24"/>
        </w:rPr>
        <w:t>(</w:t>
      </w:r>
      <w:r>
        <w:rPr>
          <w:rStyle w:val="custom"/>
          <w:rFonts w:ascii="宋体" w:hAnsi="宋体" w:cs="宋体"/>
          <w:kern w:val="0"/>
          <w:sz w:val="24"/>
          <w:szCs w:val="24"/>
        </w:rPr>
        <w:t>含</w:t>
      </w:r>
      <w:r>
        <w:rPr>
          <w:rStyle w:val="custom"/>
          <w:rFonts w:eastAsia="Times New Roman"/>
          <w:kern w:val="0"/>
          <w:sz w:val="24"/>
          <w:szCs w:val="24"/>
        </w:rPr>
        <w:t>BBB)</w:t>
      </w:r>
      <w:r>
        <w:rPr>
          <w:rStyle w:val="custom"/>
          <w:rFonts w:ascii="宋体" w:hAnsi="宋体" w:cs="宋体"/>
          <w:kern w:val="0"/>
          <w:sz w:val="24"/>
          <w:szCs w:val="24"/>
        </w:rPr>
        <w:t>的资产支持证券。基金持有资产支持证券期间，如果其信用等级下降、不再符合投资标准，应在评级报告发布之日起</w:t>
      </w:r>
      <w:r>
        <w:rPr>
          <w:rStyle w:val="custom"/>
          <w:rFonts w:eastAsia="Times New Roman"/>
          <w:kern w:val="0"/>
          <w:sz w:val="24"/>
          <w:szCs w:val="24"/>
        </w:rPr>
        <w:t>3</w:t>
      </w:r>
      <w:r>
        <w:rPr>
          <w:rStyle w:val="custom"/>
          <w:rFonts w:ascii="宋体" w:hAnsi="宋体" w:cs="宋体"/>
          <w:kern w:val="0"/>
          <w:sz w:val="24"/>
          <w:szCs w:val="24"/>
        </w:rPr>
        <w:t>个月内予以全部卖出；</w:t>
      </w:r>
    </w:p>
    <w:p w14:paraId="09DF27B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（10）基金财产参与股票发行申购，本基金所申报的金额不超过本基金的总</w:t>
      </w:r>
      <w:r>
        <w:rPr>
          <w:rStyle w:val="custom"/>
          <w:rFonts w:ascii="宋体" w:hAnsi="宋体" w:cs="宋体"/>
          <w:kern w:val="0"/>
          <w:sz w:val="24"/>
          <w:szCs w:val="24"/>
        </w:rPr>
        <w:lastRenderedPageBreak/>
        <w:t>资产，本基金所申报的股票数量不超过拟发行股票公司本次发行股票的总量；</w:t>
      </w:r>
    </w:p>
    <w:p w14:paraId="51028B24"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部分不受此限制；</w:t>
      </w:r>
    </w:p>
    <w:p w14:paraId="69A0B5B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本基金主动投资于流动性受限资产的市值合计不得超过本基金资产净值的15%；因证券市场波动、</w:t>
      </w:r>
      <w:r>
        <w:rPr>
          <w:rStyle w:val="custom"/>
          <w:rFonts w:ascii="宋体" w:hAnsi="宋体" w:cs="宋体"/>
          <w:kern w:val="0"/>
          <w:sz w:val="24"/>
          <w:szCs w:val="24"/>
        </w:rPr>
        <w:t>上市公司股票停牌、</w:t>
      </w:r>
      <w:r>
        <w:rPr>
          <w:rFonts w:ascii="宋体" w:hAnsi="宋体" w:cs="宋体"/>
          <w:kern w:val="0"/>
          <w:sz w:val="24"/>
          <w:szCs w:val="24"/>
        </w:rPr>
        <w:t>基金规模变动等基金管理人之外的因素致使基金不符合该比例限制的，基金管理人不得主动新增流动性受限资产的投资；</w:t>
      </w:r>
    </w:p>
    <w:p w14:paraId="5569602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本基金与私募类证券资管产品及中国证监会认定的其他主体为交易对手开展逆回购交易的，可接受质押品的资质要求应当与本基金合同约定的投资范围保持一致；</w:t>
      </w:r>
    </w:p>
    <w:p w14:paraId="469A134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本基金资产总值不超过基金资产净值的140%；</w:t>
      </w:r>
    </w:p>
    <w:p w14:paraId="1FE3631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（15）本基金参与股指期货和国债期货交易的，应当遵守下列要求：</w:t>
      </w:r>
    </w:p>
    <w:p w14:paraId="715D3554" w14:textId="77777777" w:rsidR="00A71A93" w:rsidRDefault="009713AD">
      <w:pPr>
        <w:pStyle w:val="div"/>
        <w:spacing w:line="360" w:lineRule="auto"/>
        <w:ind w:firstLine="420"/>
        <w:jc w:val="left"/>
        <w:rPr>
          <w:rStyle w:val="custom"/>
          <w:rFonts w:ascii="宋体" w:hAnsi="宋体" w:cs="宋体"/>
          <w:kern w:val="0"/>
          <w:sz w:val="24"/>
          <w:szCs w:val="24"/>
        </w:rPr>
      </w:pPr>
      <w:r>
        <w:rPr>
          <w:rStyle w:val="custom"/>
          <w:rFonts w:eastAsia="Times New Roman"/>
          <w:kern w:val="0"/>
          <w:sz w:val="24"/>
          <w:szCs w:val="24"/>
        </w:rPr>
        <w:t>1</w:t>
      </w:r>
      <w:r>
        <w:rPr>
          <w:rStyle w:val="custom"/>
          <w:rFonts w:ascii="宋体" w:hAnsi="宋体" w:cs="宋体"/>
          <w:kern w:val="0"/>
          <w:sz w:val="24"/>
          <w:szCs w:val="24"/>
        </w:rPr>
        <w:t>）在任何交易日日终，持有的买入国债期货和股指期货合约价值与有价证券市值之和，不得超过基金资产净值的</w:t>
      </w:r>
      <w:r>
        <w:rPr>
          <w:rStyle w:val="custom"/>
          <w:rFonts w:eastAsia="Times New Roman"/>
          <w:kern w:val="0"/>
          <w:sz w:val="24"/>
          <w:szCs w:val="24"/>
        </w:rPr>
        <w:t>95%</w:t>
      </w:r>
      <w:r>
        <w:rPr>
          <w:rStyle w:val="custom"/>
          <w:rFonts w:ascii="宋体" w:hAnsi="宋体" w:cs="宋体"/>
          <w:kern w:val="0"/>
          <w:sz w:val="24"/>
          <w:szCs w:val="24"/>
        </w:rPr>
        <w:t>；其中，有价证券指股票、债券（不含到期日在一年以内的政府债券）、资产支持证券、买入返售金融资产（不含质押式回购）等；</w:t>
      </w:r>
    </w:p>
    <w:p w14:paraId="1FD3DEC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1E15B37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w:t>
      </w:r>
      <w:r>
        <w:rPr>
          <w:rStyle w:val="custom"/>
          <w:rFonts w:ascii="宋体" w:hAnsi="宋体" w:cs="宋体"/>
          <w:kern w:val="0"/>
          <w:sz w:val="24"/>
          <w:szCs w:val="24"/>
        </w:rPr>
        <w:lastRenderedPageBreak/>
        <w:t>计（轧差计算）应当符合基金合同关于债券投资比例的有关约定；</w:t>
      </w:r>
    </w:p>
    <w:p w14:paraId="419185F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06CC0F2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（17）本基金参与融资的，每个交易日日终，本基金持有的融资买入股票与其他有价证券市值之和，不得超过基金资产净值的95%；</w:t>
      </w:r>
    </w:p>
    <w:p w14:paraId="5D6DD8C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本基金参与转融通证券出借业务的，应当符合下列要求：最近6个月内日均基金资产净值不得低于2亿元；参与转融通证券出借业务的资产不得超过基金资产净值的30%，其中出借期限在10个交易日以上的出借证券归为流动性受限资产；参与转融通证券出借业务的单只证券不得超过基金持有该证券总量的50%；证券出借的平均剩余期限不得超过30天，平均剩余期限按照市值加权平均计算；</w:t>
      </w:r>
    </w:p>
    <w:p w14:paraId="5A2332E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（19）本基金投资存托凭证的比例限制依照境内上市交易的股票执行；</w:t>
      </w:r>
    </w:p>
    <w:p w14:paraId="13656AA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法律法规及中国证监会规定的和《基金合同》约定的其他投资限制。</w:t>
      </w:r>
    </w:p>
    <w:p w14:paraId="34B8E66D" w14:textId="77777777" w:rsidR="00A71A93" w:rsidRDefault="009713AD">
      <w:pPr>
        <w:pStyle w:val="div"/>
        <w:spacing w:line="360" w:lineRule="auto"/>
        <w:ind w:firstLine="420"/>
        <w:jc w:val="left"/>
        <w:rPr>
          <w:rStyle w:val="custom"/>
          <w:rFonts w:ascii="宋体" w:hAnsi="宋体" w:cs="宋体"/>
          <w:kern w:val="0"/>
          <w:sz w:val="24"/>
          <w:szCs w:val="24"/>
        </w:rPr>
      </w:pPr>
      <w:r>
        <w:rPr>
          <w:rFonts w:ascii="宋体" w:hAnsi="宋体" w:cs="宋体"/>
          <w:kern w:val="0"/>
          <w:sz w:val="24"/>
          <w:szCs w:val="24"/>
        </w:rPr>
        <w:t>除上述</w:t>
      </w:r>
      <w:r w:rsidR="00471FB4">
        <w:rPr>
          <w:rFonts w:ascii="宋体" w:hAnsi="宋体" w:cs="宋体" w:hint="eastAsia"/>
          <w:kern w:val="0"/>
          <w:sz w:val="24"/>
          <w:szCs w:val="24"/>
        </w:rPr>
        <w:t>第</w:t>
      </w:r>
      <w:r>
        <w:rPr>
          <w:rFonts w:ascii="宋体" w:hAnsi="宋体" w:cs="宋体"/>
          <w:kern w:val="0"/>
          <w:sz w:val="24"/>
          <w:szCs w:val="24"/>
        </w:rPr>
        <w:t>（2）、</w:t>
      </w:r>
      <w:r>
        <w:rPr>
          <w:rStyle w:val="custom"/>
          <w:rFonts w:ascii="宋体" w:hAnsi="宋体" w:cs="宋体"/>
          <w:kern w:val="0"/>
          <w:sz w:val="24"/>
          <w:szCs w:val="24"/>
        </w:rPr>
        <w:t>（9）、（12）</w:t>
      </w:r>
      <w:r>
        <w:rPr>
          <w:rFonts w:ascii="宋体" w:hAnsi="宋体" w:cs="宋体"/>
          <w:kern w:val="0"/>
          <w:sz w:val="24"/>
          <w:szCs w:val="24"/>
        </w:rPr>
        <w:t>、</w:t>
      </w:r>
      <w:r>
        <w:rPr>
          <w:rStyle w:val="custom"/>
          <w:rFonts w:ascii="宋体" w:hAnsi="宋体" w:cs="宋体"/>
          <w:kern w:val="0"/>
          <w:sz w:val="24"/>
          <w:szCs w:val="24"/>
        </w:rPr>
        <w:t>（13）</w:t>
      </w:r>
      <w:r>
        <w:rPr>
          <w:rFonts w:ascii="宋体" w:hAnsi="宋体" w:cs="宋体"/>
          <w:kern w:val="0"/>
          <w:sz w:val="24"/>
          <w:szCs w:val="24"/>
        </w:rPr>
        <w:t>、</w:t>
      </w:r>
      <w:r>
        <w:rPr>
          <w:rStyle w:val="custom"/>
          <w:rFonts w:ascii="宋体" w:hAnsi="宋体" w:cs="宋体"/>
          <w:kern w:val="0"/>
          <w:sz w:val="24"/>
          <w:szCs w:val="24"/>
        </w:rPr>
        <w:t>（18）</w:t>
      </w:r>
      <w:r>
        <w:rPr>
          <w:rFonts w:ascii="宋体" w:hAnsi="宋体" w:cs="宋体"/>
          <w:kern w:val="0"/>
          <w:sz w:val="24"/>
          <w:szCs w:val="24"/>
        </w:rPr>
        <w:t>项情形之外，</w:t>
      </w:r>
      <w:r>
        <w:rPr>
          <w:rStyle w:val="custom"/>
          <w:rFonts w:ascii="宋体" w:hAnsi="宋体" w:cs="宋体"/>
          <w:kern w:val="0"/>
          <w:sz w:val="24"/>
          <w:szCs w:val="24"/>
        </w:rPr>
        <w:t>因证券/期货市场波动、</w:t>
      </w:r>
      <w:r>
        <w:rPr>
          <w:rFonts w:ascii="宋体" w:hAnsi="宋体" w:cs="宋体"/>
          <w:kern w:val="0"/>
          <w:sz w:val="24"/>
          <w:szCs w:val="24"/>
        </w:rPr>
        <w:t>证券发行人合并</w:t>
      </w:r>
      <w:r>
        <w:rPr>
          <w:rStyle w:val="custom"/>
          <w:rFonts w:ascii="宋体" w:hAnsi="宋体" w:cs="宋体"/>
          <w:kern w:val="0"/>
          <w:sz w:val="24"/>
          <w:szCs w:val="24"/>
        </w:rPr>
        <w:t>、标的指数成份股调整、标的指数成份股流动性限制</w:t>
      </w:r>
      <w:r>
        <w:rPr>
          <w:rFonts w:ascii="宋体" w:hAnsi="宋体" w:cs="宋体"/>
          <w:kern w:val="0"/>
          <w:sz w:val="24"/>
          <w:szCs w:val="24"/>
        </w:rPr>
        <w:t>、基金规模变动等基金管理人之外的因素致使基金投资比例不符合上述规定投资比例的，基金管理人应当在</w:t>
      </w:r>
      <w:r>
        <w:rPr>
          <w:rStyle w:val="custom"/>
          <w:rFonts w:ascii="宋体" w:hAnsi="宋体" w:cs="宋体"/>
          <w:kern w:val="0"/>
          <w:sz w:val="24"/>
          <w:szCs w:val="24"/>
        </w:rPr>
        <w:t>10</w:t>
      </w:r>
      <w:r>
        <w:rPr>
          <w:rFonts w:ascii="宋体" w:hAnsi="宋体" w:cs="宋体"/>
          <w:kern w:val="0"/>
          <w:sz w:val="24"/>
          <w:szCs w:val="24"/>
        </w:rPr>
        <w:t>个交易日内进行调整，但中国证监会规定的特殊情形除外。</w:t>
      </w:r>
      <w:r>
        <w:rPr>
          <w:rStyle w:val="custom"/>
          <w:rFonts w:ascii="宋体" w:hAnsi="宋体" w:cs="宋体"/>
          <w:kern w:val="0"/>
          <w:sz w:val="24"/>
          <w:szCs w:val="24"/>
        </w:rPr>
        <w:t>因证券市场波动、证券发行人合并、基金规模变动等基金管理人之外的因素致使基金投资不符合第（18）项规定的，基金管理人不得新增出借业务。法律法规另有规定的从其规定。</w:t>
      </w:r>
    </w:p>
    <w:p w14:paraId="346CBD1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4A9DE40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法律法规或监管部门取消或调整上述限制，如适用于本基金，基金管理人在</w:t>
      </w:r>
      <w:r>
        <w:rPr>
          <w:rFonts w:ascii="宋体" w:hAnsi="宋体" w:cs="宋体"/>
          <w:kern w:val="0"/>
          <w:sz w:val="24"/>
          <w:szCs w:val="24"/>
        </w:rPr>
        <w:lastRenderedPageBreak/>
        <w:t>履行适当程序后，则本基金投资不再受相关限制或以调整以后的规定为准。</w:t>
      </w:r>
    </w:p>
    <w:p w14:paraId="2640E85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禁止行为</w:t>
      </w:r>
    </w:p>
    <w:p w14:paraId="231EDDC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14:paraId="722ED24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承销证券；</w:t>
      </w:r>
    </w:p>
    <w:p w14:paraId="0946472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违反规定向他人贷款或者提供担保；</w:t>
      </w:r>
    </w:p>
    <w:p w14:paraId="6824C77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从事承担无限责任的投资；</w:t>
      </w:r>
    </w:p>
    <w:p w14:paraId="6605C6D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（4）买卖其他基金份额，但是法律法规或中国证监会另有规定的除外；</w:t>
      </w:r>
    </w:p>
    <w:p w14:paraId="06AA54C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向其基金管理人、基金托管人出资；</w:t>
      </w:r>
    </w:p>
    <w:p w14:paraId="4F82A63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从事内幕交易、操纵证券交易价格及其他不正当的证券交易活动；</w:t>
      </w:r>
    </w:p>
    <w:p w14:paraId="622E681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法律、行政法规和中国证监会规定禁止的其他活动。</w:t>
      </w:r>
    </w:p>
    <w:p w14:paraId="295CF0D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w:t>
      </w:r>
      <w:r w:rsidR="00226455">
        <w:rPr>
          <w:rFonts w:ascii="宋体" w:hAnsi="宋体" w:cs="宋体" w:hint="eastAsia"/>
          <w:kern w:val="0"/>
          <w:sz w:val="24"/>
          <w:szCs w:val="24"/>
        </w:rPr>
        <w:t>其他</w:t>
      </w:r>
      <w:r>
        <w:rPr>
          <w:rFonts w:ascii="宋体" w:hAnsi="宋体" w:cs="宋体"/>
          <w:kern w:val="0"/>
          <w:sz w:val="24"/>
          <w:szCs w:val="24"/>
        </w:rPr>
        <w:t>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D90F6F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6D5F7A2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五、标的指数和业绩比较基准</w:t>
      </w:r>
    </w:p>
    <w:p w14:paraId="02DD55E1"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1、标的指数</w:t>
      </w:r>
    </w:p>
    <w:p w14:paraId="00343F0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本基金的标的指数为中证全指指数。</w:t>
      </w:r>
    </w:p>
    <w:p w14:paraId="6F62C26A"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6个月内召集基金份额持有人大会进行表决，基金份额持有人大会未成功召开或就上述事项表决未通过的，本基金合同终止。</w:t>
      </w:r>
    </w:p>
    <w:p w14:paraId="3AC9494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自指数编制机构停止标的指数的编制及发布至解决方案确定期间，基金管理人应按照指数编制机构提供的最近一个交易日的指数信息遵循基金份额持有人利益优先原则维持基金投资运作。法律法规或监管机构另有规定的，从其规定。</w:t>
      </w:r>
    </w:p>
    <w:p w14:paraId="570DCEB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2、业绩比较基准</w:t>
      </w:r>
    </w:p>
    <w:p w14:paraId="47C0F23D" w14:textId="1D15CBAE"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本基金的业绩比较基准为：中证全指指数收益率×95%+</w:t>
      </w:r>
      <w:r w:rsidR="00B84A37">
        <w:rPr>
          <w:rStyle w:val="custom"/>
          <w:rFonts w:ascii="宋体" w:hAnsi="宋体" w:cs="宋体" w:hint="eastAsia"/>
          <w:kern w:val="0"/>
          <w:sz w:val="24"/>
          <w:szCs w:val="24"/>
        </w:rPr>
        <w:t>活期存款基准利率</w:t>
      </w:r>
      <w:r>
        <w:rPr>
          <w:rStyle w:val="custom"/>
          <w:rFonts w:ascii="宋体" w:hAnsi="宋体" w:cs="宋体"/>
          <w:kern w:val="0"/>
          <w:sz w:val="24"/>
          <w:szCs w:val="24"/>
        </w:rPr>
        <w:t>×5%</w:t>
      </w:r>
    </w:p>
    <w:p w14:paraId="079FCF60" w14:textId="77777777" w:rsidR="00B84A37" w:rsidRDefault="00B84A37" w:rsidP="00B84A37">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（1）</w:t>
      </w:r>
      <w:r w:rsidRPr="005877DD">
        <w:rPr>
          <w:rStyle w:val="custom"/>
          <w:rFonts w:ascii="宋体" w:hAnsi="宋体" w:cs="宋体" w:hint="eastAsia"/>
          <w:kern w:val="0"/>
          <w:sz w:val="24"/>
          <w:szCs w:val="24"/>
        </w:rPr>
        <w:t>业绩比较基准设定的原因</w:t>
      </w:r>
    </w:p>
    <w:p w14:paraId="237DE935" w14:textId="77777777" w:rsidR="00CE2DCF" w:rsidRDefault="00B84A37" w:rsidP="002B6473">
      <w:pPr>
        <w:spacing w:line="360" w:lineRule="auto"/>
        <w:ind w:firstLine="420"/>
        <w:rPr>
          <w:rStyle w:val="custom"/>
          <w:rFonts w:ascii="宋体" w:hAnsi="宋体" w:cs="宋体"/>
          <w:kern w:val="0"/>
          <w:sz w:val="24"/>
          <w:szCs w:val="24"/>
        </w:rPr>
      </w:pPr>
      <w:r>
        <w:rPr>
          <w:rFonts w:ascii="宋体" w:hAnsi="宋体" w:cs="宋体"/>
          <w:kern w:val="0"/>
          <w:sz w:val="24"/>
          <w:szCs w:val="24"/>
        </w:rPr>
        <w:t>本基金为股票型指数增强基金，在对标的指数进行有效跟踪的被动投资基础上，结合增强型的主动投资，进行积极的组合管理和风险控制，力求实现超越标的指数的业绩表现，谋求基金资产的长期增值。</w:t>
      </w:r>
      <w:r w:rsidRPr="00162019">
        <w:rPr>
          <w:rStyle w:val="custom"/>
          <w:rFonts w:ascii="宋体" w:hAnsi="宋体" w:cs="宋体" w:hint="eastAsia"/>
          <w:kern w:val="0"/>
          <w:sz w:val="24"/>
          <w:szCs w:val="24"/>
        </w:rPr>
        <w:t>本基金的标的指数为</w:t>
      </w:r>
      <w:r w:rsidR="00CE2DCF">
        <w:rPr>
          <w:rStyle w:val="custom"/>
          <w:rFonts w:ascii="宋体" w:hAnsi="宋体" w:cs="宋体"/>
          <w:kern w:val="0"/>
          <w:sz w:val="24"/>
          <w:szCs w:val="24"/>
        </w:rPr>
        <w:t>中证全指指数</w:t>
      </w:r>
      <w:r w:rsidRPr="00162019">
        <w:rPr>
          <w:rStyle w:val="custom"/>
          <w:rFonts w:ascii="宋体" w:hAnsi="宋体" w:cs="宋体" w:hint="eastAsia"/>
          <w:kern w:val="0"/>
          <w:sz w:val="24"/>
          <w:szCs w:val="24"/>
        </w:rPr>
        <w:t>，相应选取</w:t>
      </w:r>
      <w:r w:rsidR="00CE2DCF">
        <w:rPr>
          <w:rStyle w:val="custom"/>
          <w:rFonts w:ascii="宋体" w:hAnsi="宋体" w:cs="宋体"/>
          <w:kern w:val="0"/>
          <w:sz w:val="24"/>
          <w:szCs w:val="24"/>
        </w:rPr>
        <w:t>中证全指指数</w:t>
      </w:r>
      <w:r w:rsidRPr="00162019">
        <w:rPr>
          <w:rStyle w:val="custom"/>
          <w:rFonts w:ascii="宋体" w:hAnsi="宋体" w:cs="宋体" w:hint="eastAsia"/>
          <w:kern w:val="0"/>
          <w:sz w:val="24"/>
          <w:szCs w:val="24"/>
        </w:rPr>
        <w:t>作为基准要素，同时将</w:t>
      </w:r>
      <w:r w:rsidR="00CE2DCF">
        <w:rPr>
          <w:rStyle w:val="custom"/>
          <w:rFonts w:ascii="宋体" w:hAnsi="宋体" w:cs="宋体"/>
          <w:kern w:val="0"/>
          <w:sz w:val="24"/>
          <w:szCs w:val="24"/>
        </w:rPr>
        <w:t>中证全指指数</w:t>
      </w:r>
      <w:r w:rsidRPr="00162019">
        <w:rPr>
          <w:rStyle w:val="custom"/>
          <w:rFonts w:ascii="宋体" w:hAnsi="宋体" w:cs="宋体" w:hint="eastAsia"/>
          <w:kern w:val="0"/>
          <w:sz w:val="24"/>
          <w:szCs w:val="24"/>
        </w:rPr>
        <w:t>的基准要素权重设置为</w:t>
      </w:r>
      <w:r>
        <w:rPr>
          <w:rStyle w:val="custom"/>
          <w:rFonts w:ascii="宋体" w:hAnsi="宋体" w:cs="宋体" w:hint="eastAsia"/>
          <w:kern w:val="0"/>
          <w:sz w:val="24"/>
          <w:szCs w:val="24"/>
        </w:rPr>
        <w:t>95</w:t>
      </w:r>
      <w:r w:rsidRPr="00162019">
        <w:rPr>
          <w:rStyle w:val="custom"/>
          <w:rFonts w:ascii="宋体" w:hAnsi="宋体" w:cs="宋体" w:hint="eastAsia"/>
          <w:kern w:val="0"/>
          <w:sz w:val="24"/>
          <w:szCs w:val="24"/>
        </w:rPr>
        <w:t>%</w:t>
      </w:r>
      <w:r w:rsidR="00CE2DCF">
        <w:rPr>
          <w:rStyle w:val="custom"/>
          <w:rFonts w:ascii="宋体" w:hAnsi="宋体" w:cs="宋体"/>
          <w:kern w:val="0"/>
          <w:sz w:val="24"/>
          <w:szCs w:val="24"/>
        </w:rPr>
        <w:t>.</w:t>
      </w:r>
    </w:p>
    <w:p w14:paraId="18E3551E" w14:textId="711F936F" w:rsidR="00B84A37" w:rsidRPr="00162019" w:rsidRDefault="00CE2DCF" w:rsidP="002B6473">
      <w:pPr>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每个交易日日终在扣除国债期货、股指期货和股票期权合约需缴纳的交易保证金后，本基金保留的现金或投资于到期日在一年以内的政府债券的比例合计不低于基金资产净值的5%。</w:t>
      </w:r>
      <w:r>
        <w:rPr>
          <w:rStyle w:val="custom"/>
          <w:rFonts w:ascii="宋体" w:hAnsi="宋体" w:cs="宋体" w:hint="eastAsia"/>
          <w:kern w:val="0"/>
          <w:sz w:val="24"/>
          <w:szCs w:val="24"/>
        </w:rPr>
        <w:t>因此</w:t>
      </w:r>
      <w:r w:rsidR="00B84A37">
        <w:rPr>
          <w:rStyle w:val="custom"/>
          <w:rFonts w:ascii="宋体" w:hAnsi="宋体" w:cs="宋体" w:hint="eastAsia"/>
          <w:kern w:val="0"/>
          <w:sz w:val="24"/>
          <w:szCs w:val="24"/>
        </w:rPr>
        <w:t>，</w:t>
      </w:r>
      <w:r w:rsidR="00B84A37" w:rsidRPr="00162019">
        <w:rPr>
          <w:rStyle w:val="custom"/>
          <w:rFonts w:ascii="宋体" w:hAnsi="宋体" w:cs="宋体" w:hint="eastAsia"/>
          <w:kern w:val="0"/>
          <w:sz w:val="24"/>
          <w:szCs w:val="24"/>
        </w:rPr>
        <w:t>本基金相应选取</w:t>
      </w:r>
      <w:r w:rsidR="00B84A37">
        <w:rPr>
          <w:rStyle w:val="custom"/>
          <w:rFonts w:ascii="宋体" w:hAnsi="宋体" w:cs="宋体" w:hint="eastAsia"/>
          <w:kern w:val="0"/>
          <w:sz w:val="24"/>
          <w:szCs w:val="24"/>
        </w:rPr>
        <w:t>活期存款基准利率</w:t>
      </w:r>
      <w:r w:rsidR="00B84A37" w:rsidRPr="00162019">
        <w:rPr>
          <w:rStyle w:val="custom"/>
          <w:rFonts w:ascii="宋体" w:hAnsi="宋体" w:cs="宋体" w:hint="eastAsia"/>
          <w:kern w:val="0"/>
          <w:sz w:val="24"/>
          <w:szCs w:val="24"/>
        </w:rPr>
        <w:t>作为基准要素，同时将</w:t>
      </w:r>
      <w:r w:rsidR="00B84A37">
        <w:rPr>
          <w:rStyle w:val="custom"/>
          <w:rFonts w:ascii="宋体" w:hAnsi="宋体" w:cs="宋体" w:hint="eastAsia"/>
          <w:kern w:val="0"/>
          <w:sz w:val="24"/>
          <w:szCs w:val="24"/>
        </w:rPr>
        <w:t>活期存款基准利率</w:t>
      </w:r>
      <w:r w:rsidR="00B84A37" w:rsidRPr="00162019">
        <w:rPr>
          <w:rStyle w:val="custom"/>
          <w:rFonts w:ascii="宋体" w:hAnsi="宋体" w:cs="宋体" w:hint="eastAsia"/>
          <w:kern w:val="0"/>
          <w:sz w:val="24"/>
          <w:szCs w:val="24"/>
        </w:rPr>
        <w:t>的基准要素权重设置为</w:t>
      </w:r>
      <w:r w:rsidR="00B84A37">
        <w:rPr>
          <w:rStyle w:val="custom"/>
          <w:rFonts w:ascii="宋体" w:hAnsi="宋体" w:cs="宋体" w:hint="eastAsia"/>
          <w:kern w:val="0"/>
          <w:sz w:val="24"/>
          <w:szCs w:val="24"/>
        </w:rPr>
        <w:t>5</w:t>
      </w:r>
      <w:r w:rsidR="00B84A37" w:rsidRPr="00162019">
        <w:rPr>
          <w:rStyle w:val="custom"/>
          <w:rFonts w:ascii="宋体" w:hAnsi="宋体" w:cs="宋体" w:hint="eastAsia"/>
          <w:kern w:val="0"/>
          <w:sz w:val="24"/>
          <w:szCs w:val="24"/>
        </w:rPr>
        <w:t>%</w:t>
      </w:r>
      <w:r w:rsidR="00B84A37">
        <w:rPr>
          <w:rStyle w:val="custom"/>
          <w:rFonts w:ascii="宋体" w:hAnsi="宋体" w:cs="宋体" w:hint="eastAsia"/>
          <w:kern w:val="0"/>
          <w:sz w:val="24"/>
          <w:szCs w:val="24"/>
        </w:rPr>
        <w:t>。</w:t>
      </w:r>
    </w:p>
    <w:p w14:paraId="64451F10" w14:textId="77777777" w:rsidR="00B84A37" w:rsidRDefault="00B84A37" w:rsidP="00B84A37">
      <w:pPr>
        <w:pStyle w:val="div"/>
        <w:spacing w:line="360" w:lineRule="auto"/>
        <w:ind w:firstLine="420"/>
        <w:rPr>
          <w:rStyle w:val="custom"/>
          <w:rFonts w:ascii="宋体" w:hAnsi="宋体" w:cs="宋体"/>
          <w:kern w:val="0"/>
          <w:sz w:val="24"/>
          <w:szCs w:val="24"/>
        </w:rPr>
      </w:pPr>
      <w:r w:rsidRPr="00162019">
        <w:rPr>
          <w:rStyle w:val="custom"/>
          <w:rFonts w:ascii="宋体" w:hAnsi="宋体" w:cs="宋体" w:hint="eastAsia"/>
          <w:kern w:val="0"/>
          <w:sz w:val="24"/>
          <w:szCs w:val="24"/>
        </w:rPr>
        <w:t>综上，本基金选取的业绩比较基准与基金投资目标、投资范围、投资策略、投资比例限制相匹配。</w:t>
      </w:r>
    </w:p>
    <w:p w14:paraId="4AC5875F" w14:textId="77777777" w:rsidR="00B84A37" w:rsidRPr="005877DD" w:rsidRDefault="00B84A37" w:rsidP="00B84A37">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（2）</w:t>
      </w:r>
      <w:r w:rsidRPr="005877DD">
        <w:rPr>
          <w:rStyle w:val="custom"/>
          <w:rFonts w:ascii="宋体" w:hAnsi="宋体" w:cs="宋体" w:hint="eastAsia"/>
          <w:kern w:val="0"/>
          <w:sz w:val="24"/>
          <w:szCs w:val="24"/>
        </w:rPr>
        <w:t>业绩比较基准要素所涉及的发布机构、代码、查询途径</w:t>
      </w:r>
    </w:p>
    <w:p w14:paraId="16E72A32" w14:textId="5236C0E1" w:rsidR="00B84A37" w:rsidRPr="005877DD" w:rsidRDefault="00CE2DCF" w:rsidP="00B84A37">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中证全指指数</w:t>
      </w:r>
      <w:r w:rsidR="00B84A37" w:rsidRPr="005877DD">
        <w:rPr>
          <w:rStyle w:val="custom"/>
          <w:rFonts w:ascii="宋体" w:hAnsi="宋体" w:cs="宋体" w:hint="eastAsia"/>
          <w:kern w:val="0"/>
          <w:sz w:val="24"/>
          <w:szCs w:val="24"/>
        </w:rPr>
        <w:t>由</w:t>
      </w:r>
      <w:r w:rsidR="00B84A37">
        <w:rPr>
          <w:rStyle w:val="custom"/>
          <w:rFonts w:ascii="宋体" w:hAnsi="宋体" w:cs="宋体" w:hint="eastAsia"/>
          <w:kern w:val="0"/>
          <w:sz w:val="24"/>
          <w:szCs w:val="24"/>
        </w:rPr>
        <w:t>中证</w:t>
      </w:r>
      <w:r w:rsidR="00B84A37" w:rsidRPr="005877DD">
        <w:rPr>
          <w:rStyle w:val="custom"/>
          <w:rFonts w:ascii="宋体" w:hAnsi="宋体" w:cs="宋体" w:hint="eastAsia"/>
          <w:kern w:val="0"/>
          <w:sz w:val="24"/>
          <w:szCs w:val="24"/>
        </w:rPr>
        <w:t>指数</w:t>
      </w:r>
      <w:r w:rsidR="00B84A37">
        <w:rPr>
          <w:rStyle w:val="custom"/>
          <w:rFonts w:ascii="宋体" w:hAnsi="宋体" w:cs="宋体" w:hint="eastAsia"/>
          <w:kern w:val="0"/>
          <w:sz w:val="24"/>
          <w:szCs w:val="24"/>
        </w:rPr>
        <w:t>有限公司</w:t>
      </w:r>
      <w:r w:rsidR="00B84A37" w:rsidRPr="005877DD">
        <w:rPr>
          <w:rStyle w:val="custom"/>
          <w:rFonts w:ascii="宋体" w:hAnsi="宋体" w:cs="宋体" w:hint="eastAsia"/>
          <w:kern w:val="0"/>
          <w:sz w:val="24"/>
          <w:szCs w:val="24"/>
        </w:rPr>
        <w:t>编制发布，指数代码为</w:t>
      </w:r>
      <w:r w:rsidRPr="00CE2DCF">
        <w:rPr>
          <w:rStyle w:val="custom"/>
          <w:rFonts w:ascii="宋体" w:hAnsi="宋体" w:cs="宋体"/>
          <w:kern w:val="0"/>
          <w:sz w:val="24"/>
          <w:szCs w:val="24"/>
        </w:rPr>
        <w:t>000985</w:t>
      </w:r>
      <w:r w:rsidR="00B84A37" w:rsidRPr="005877DD">
        <w:rPr>
          <w:rStyle w:val="custom"/>
          <w:rFonts w:ascii="宋体" w:hAnsi="宋体" w:cs="宋体" w:hint="eastAsia"/>
          <w:kern w:val="0"/>
          <w:sz w:val="24"/>
          <w:szCs w:val="24"/>
        </w:rPr>
        <w:t>，具体信息详见中证指数有限公司</w:t>
      </w:r>
      <w:r w:rsidR="00B84A37">
        <w:rPr>
          <w:rStyle w:val="custom"/>
          <w:rFonts w:ascii="宋体" w:hAnsi="宋体" w:cs="宋体" w:hint="eastAsia"/>
          <w:kern w:val="0"/>
          <w:sz w:val="24"/>
          <w:szCs w:val="24"/>
        </w:rPr>
        <w:t>官网</w:t>
      </w:r>
      <w:r w:rsidR="00B84A37" w:rsidRPr="005877DD">
        <w:rPr>
          <w:rStyle w:val="custom"/>
          <w:rFonts w:ascii="宋体" w:hAnsi="宋体" w:cs="宋体" w:hint="eastAsia"/>
          <w:kern w:val="0"/>
          <w:sz w:val="24"/>
          <w:szCs w:val="24"/>
        </w:rPr>
        <w:t>，网址：</w:t>
      </w:r>
      <w:r w:rsidR="00B84A37" w:rsidRPr="005877DD">
        <w:rPr>
          <w:rStyle w:val="custom"/>
          <w:rFonts w:ascii="宋体" w:hAnsi="宋体" w:cs="宋体"/>
          <w:kern w:val="0"/>
          <w:sz w:val="24"/>
          <w:szCs w:val="24"/>
        </w:rPr>
        <w:t>https://www.csindex.com.cn</w:t>
      </w:r>
      <w:r w:rsidR="00B84A37" w:rsidRPr="005877DD">
        <w:rPr>
          <w:rStyle w:val="custom"/>
          <w:rFonts w:ascii="宋体" w:hAnsi="宋体" w:cs="宋体" w:hint="eastAsia"/>
          <w:kern w:val="0"/>
          <w:sz w:val="24"/>
          <w:szCs w:val="24"/>
        </w:rPr>
        <w:t>。</w:t>
      </w:r>
    </w:p>
    <w:p w14:paraId="3D4A7C1B" w14:textId="77777777" w:rsidR="00B84A37" w:rsidRPr="005877DD" w:rsidRDefault="00B84A37" w:rsidP="00B84A37">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活期存款基准利率</w:t>
      </w:r>
      <w:r w:rsidRPr="005877DD">
        <w:rPr>
          <w:rStyle w:val="custom"/>
          <w:rFonts w:ascii="宋体" w:hAnsi="宋体" w:cs="宋体" w:hint="eastAsia"/>
          <w:kern w:val="0"/>
          <w:sz w:val="24"/>
          <w:szCs w:val="24"/>
        </w:rPr>
        <w:t>由中国人民银行发布，具体信息详见中国人民银行网站，网址：www.pbc.gov.cn。</w:t>
      </w:r>
    </w:p>
    <w:p w14:paraId="6D87FDA2" w14:textId="77777777" w:rsidR="00B84A37" w:rsidRPr="005877DD" w:rsidRDefault="00B84A37" w:rsidP="00B84A37">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（3）</w:t>
      </w:r>
      <w:r w:rsidRPr="005877DD">
        <w:rPr>
          <w:rStyle w:val="custom"/>
          <w:rFonts w:ascii="宋体" w:hAnsi="宋体" w:cs="宋体" w:hint="eastAsia"/>
          <w:kern w:val="0"/>
          <w:sz w:val="24"/>
          <w:szCs w:val="24"/>
        </w:rPr>
        <w:t>业绩比较基准收益率的计算方法</w:t>
      </w:r>
    </w:p>
    <w:p w14:paraId="151A2A4A" w14:textId="3E89EF43" w:rsidR="00B84A37" w:rsidRDefault="00B84A37" w:rsidP="00B84A37">
      <w:pPr>
        <w:pStyle w:val="div"/>
        <w:spacing w:line="360" w:lineRule="auto"/>
        <w:ind w:firstLine="420"/>
        <w:rPr>
          <w:rStyle w:val="custom"/>
          <w:rFonts w:ascii="宋体" w:hAnsi="宋体" w:cs="宋体"/>
          <w:kern w:val="0"/>
          <w:sz w:val="24"/>
          <w:szCs w:val="24"/>
        </w:rPr>
      </w:pPr>
      <w:r w:rsidRPr="00162019">
        <w:rPr>
          <w:rStyle w:val="custom"/>
          <w:rFonts w:ascii="宋体" w:hAnsi="宋体" w:cs="宋体" w:hint="eastAsia"/>
          <w:kern w:val="0"/>
          <w:sz w:val="24"/>
          <w:szCs w:val="24"/>
        </w:rPr>
        <w:t>本基金业绩比较基准收益率的计算方法以每日收益率为基础，以时间加权为计算原则。</w:t>
      </w:r>
      <w:r w:rsidRPr="00FA616D">
        <w:rPr>
          <w:rStyle w:val="custom"/>
          <w:rFonts w:ascii="宋体" w:hAnsi="宋体" w:cs="宋体" w:hint="eastAsia"/>
          <w:kern w:val="0"/>
          <w:sz w:val="24"/>
          <w:szCs w:val="24"/>
        </w:rPr>
        <w:t>本基金先分别计算业绩比较基准中</w:t>
      </w:r>
      <w:r w:rsidR="00CE2DCF">
        <w:rPr>
          <w:rStyle w:val="custom"/>
          <w:rFonts w:ascii="宋体" w:hAnsi="宋体" w:cs="宋体"/>
          <w:kern w:val="0"/>
          <w:sz w:val="24"/>
          <w:szCs w:val="24"/>
        </w:rPr>
        <w:t>中证全指指数</w:t>
      </w:r>
      <w:r w:rsidRPr="00FA616D">
        <w:rPr>
          <w:rStyle w:val="custom"/>
          <w:rFonts w:ascii="宋体" w:hAnsi="宋体" w:cs="宋体" w:hint="eastAsia"/>
          <w:kern w:val="0"/>
          <w:sz w:val="24"/>
          <w:szCs w:val="24"/>
        </w:rPr>
        <w:t>、活期存款基准利率的每日收益率，再按照预设权重比例计算当日组合要素基准的日收益率，并连乘每日收益率</w:t>
      </w:r>
      <w:r>
        <w:rPr>
          <w:rStyle w:val="custom"/>
          <w:rFonts w:ascii="宋体" w:hAnsi="宋体" w:cs="宋体" w:hint="eastAsia"/>
          <w:kern w:val="0"/>
          <w:sz w:val="24"/>
          <w:szCs w:val="24"/>
        </w:rPr>
        <w:t>。</w:t>
      </w:r>
    </w:p>
    <w:p w14:paraId="27D504DE" w14:textId="77777777" w:rsidR="00B84A37" w:rsidRPr="005877DD" w:rsidRDefault="00B84A37" w:rsidP="00B84A37">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（4）</w:t>
      </w:r>
      <w:r w:rsidRPr="005877DD">
        <w:rPr>
          <w:rStyle w:val="custom"/>
          <w:rFonts w:ascii="宋体" w:hAnsi="宋体" w:cs="宋体" w:hint="eastAsia"/>
          <w:kern w:val="0"/>
          <w:sz w:val="24"/>
          <w:szCs w:val="24"/>
        </w:rPr>
        <w:t>管理投资偏离业绩比较基准的方法</w:t>
      </w:r>
    </w:p>
    <w:p w14:paraId="1D505866" w14:textId="3B485AEB" w:rsidR="002B6473" w:rsidRDefault="00CE2DCF" w:rsidP="002B6473">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本基金投资于股票的资产不低于基金资产的80%，投资于标的指数成份股及其备选成份股的比例不低于非现金基金资产的80%。</w:t>
      </w:r>
      <w:r w:rsidR="002B6473" w:rsidRPr="00162019">
        <w:rPr>
          <w:rStyle w:val="custom"/>
          <w:rFonts w:ascii="宋体" w:hAnsi="宋体" w:cs="宋体" w:hint="eastAsia"/>
          <w:kern w:val="0"/>
          <w:sz w:val="24"/>
          <w:szCs w:val="24"/>
        </w:rPr>
        <w:t>在正常市场情况下，本基金</w:t>
      </w:r>
      <w:r w:rsidR="002B6473">
        <w:rPr>
          <w:rStyle w:val="custom"/>
          <w:rFonts w:ascii="宋体" w:hAnsi="宋体" w:cs="宋体"/>
          <w:kern w:val="0"/>
          <w:sz w:val="24"/>
          <w:szCs w:val="24"/>
        </w:rPr>
        <w:t>力争控制净值增长率与业绩比较基准之间的日均跟踪偏离度的绝对值不超过0.5%，年跟踪误差不超过8.00%。</w:t>
      </w:r>
      <w:r w:rsidR="002B6473" w:rsidRPr="00162019">
        <w:rPr>
          <w:rStyle w:val="custom"/>
          <w:rFonts w:ascii="宋体" w:hAnsi="宋体" w:cs="宋体" w:hint="eastAsia"/>
          <w:kern w:val="0"/>
          <w:sz w:val="24"/>
          <w:szCs w:val="24"/>
        </w:rPr>
        <w:t>如因指数编制规则调整或其他因素导致跟踪偏离度和跟踪误差超过上述范围，基金管理人应采取合理措施避免跟踪偏离度、跟踪误差进一步扩大。</w:t>
      </w:r>
    </w:p>
    <w:p w14:paraId="575DD00A" w14:textId="77777777" w:rsidR="00B84A37" w:rsidRPr="005877DD" w:rsidRDefault="00B84A37" w:rsidP="00B84A37">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（5）</w:t>
      </w:r>
      <w:r w:rsidRPr="005877DD">
        <w:rPr>
          <w:rStyle w:val="custom"/>
          <w:rFonts w:ascii="宋体" w:hAnsi="宋体" w:cs="宋体" w:hint="eastAsia"/>
          <w:kern w:val="0"/>
          <w:sz w:val="24"/>
          <w:szCs w:val="24"/>
        </w:rPr>
        <w:t>未来可能变更业绩比较基准的情况和程序</w:t>
      </w:r>
    </w:p>
    <w:p w14:paraId="4503051F" w14:textId="77777777" w:rsidR="00B84A37" w:rsidRPr="0084235D" w:rsidRDefault="00B84A37" w:rsidP="00B84A37">
      <w:pPr>
        <w:pStyle w:val="div"/>
        <w:spacing w:line="360" w:lineRule="auto"/>
        <w:ind w:firstLine="420"/>
        <w:jc w:val="left"/>
        <w:rPr>
          <w:rStyle w:val="custom"/>
          <w:rFonts w:ascii="宋体" w:hAnsi="宋体" w:cs="宋体"/>
          <w:kern w:val="0"/>
          <w:sz w:val="24"/>
          <w:szCs w:val="24"/>
        </w:rPr>
      </w:pPr>
      <w:r>
        <w:rPr>
          <w:rFonts w:ascii="宋体" w:hAnsi="宋体" w:cs="宋体"/>
          <w:kern w:val="0"/>
          <w:sz w:val="24"/>
          <w:szCs w:val="24"/>
        </w:rPr>
        <w:t>如本基金标的指数变化，则业绩比较基准中的标的指数将相应调整。业绩比较基准的调整根据标的指数的变更程序执行。</w:t>
      </w:r>
      <w:r w:rsidRPr="0084235D">
        <w:rPr>
          <w:rStyle w:val="custom"/>
          <w:rFonts w:ascii="宋体" w:hAnsi="宋体" w:cs="宋体" w:hint="eastAsia"/>
          <w:kern w:val="0"/>
          <w:sz w:val="24"/>
          <w:szCs w:val="24"/>
        </w:rPr>
        <w:t>若本基金调整业绩比较基准的要素权重，本基金将根据法律法规、中国证监会的规定和基金合同约定履行相关程序。</w:t>
      </w:r>
    </w:p>
    <w:p w14:paraId="5019F63C" w14:textId="683396C5" w:rsidR="00A71A93" w:rsidRDefault="00B84A37" w:rsidP="00B84A37">
      <w:pPr>
        <w:pStyle w:val="div"/>
        <w:spacing w:line="360" w:lineRule="auto"/>
        <w:ind w:firstLine="420"/>
        <w:rPr>
          <w:rStyle w:val="custom"/>
          <w:rFonts w:ascii="宋体" w:hAnsi="宋体" w:cs="宋体"/>
          <w:kern w:val="0"/>
          <w:sz w:val="24"/>
          <w:szCs w:val="24"/>
        </w:rPr>
      </w:pPr>
      <w:r w:rsidRPr="0084235D">
        <w:rPr>
          <w:rStyle w:val="custom"/>
          <w:rFonts w:ascii="宋体" w:hAnsi="宋体" w:cs="宋体" w:hint="eastAsia"/>
          <w:kern w:val="0"/>
          <w:sz w:val="24"/>
          <w:szCs w:val="24"/>
        </w:rPr>
        <w:t>法律法规或监管机构另有规定的，从其规定。</w:t>
      </w:r>
    </w:p>
    <w:p w14:paraId="0F08411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风险收益特征</w:t>
      </w:r>
    </w:p>
    <w:p w14:paraId="4AB64C19"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本基金属于股票型指数增强基金，其预期的风险与收益高于混合型基金、债券型基金与货币市场基金。</w:t>
      </w:r>
    </w:p>
    <w:p w14:paraId="4E924A20"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本基金除了投资A股以外，还可以根据法律法规规定投资港股通标的股票，将面临港股通机制下因投资环境、投资标的、市场制度以及交易规则等差异带来的特有风险。</w:t>
      </w:r>
    </w:p>
    <w:p w14:paraId="5D328EC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七、基金管理人代表基金行使股东或债权人权利的处理原则及方法</w:t>
      </w:r>
    </w:p>
    <w:p w14:paraId="779D653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1、基金管理人按照国家有关规定代表基金独立行使股东或债权人权利，保护基金份额持有人的利益；</w:t>
      </w:r>
    </w:p>
    <w:p w14:paraId="6C414D9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2、不谋求对上市公司的控股；</w:t>
      </w:r>
    </w:p>
    <w:p w14:paraId="204A8CD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有利于基金财产的安全与增值；</w:t>
      </w:r>
    </w:p>
    <w:p w14:paraId="670B19F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不通过关联交易为自身、雇员、授权代理人或任何存在利害关系的第三人牟取任何不当利益。</w:t>
      </w:r>
    </w:p>
    <w:p w14:paraId="2FEFA8C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侧袋机制的实施和投资运作安排</w:t>
      </w:r>
    </w:p>
    <w:p w14:paraId="182A3C1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27505D3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侧袋机制实施期间，本部分约定的投资组合比例、投资策略、组合限制、业绩比较基准、风险收益特征等约定仅适用于主袋账户。</w:t>
      </w:r>
    </w:p>
    <w:p w14:paraId="511470B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侧袋账户的实施条件、实施程序、运作安排、投资安排、特定资产的处置变现和支付等对投资者权益有重大影响的事项详见招募说明书的规定。</w:t>
      </w:r>
      <w:r>
        <w:rPr>
          <w:rFonts w:ascii="宋体" w:hAnsi="宋体" w:cs="宋体"/>
          <w:kern w:val="0"/>
          <w:sz w:val="24"/>
          <w:szCs w:val="24"/>
        </w:rPr>
        <w:br w:type="page"/>
      </w:r>
    </w:p>
    <w:p w14:paraId="18356B6F" w14:textId="77777777" w:rsidR="009D63C8" w:rsidRDefault="009713AD" w:rsidP="009E26D0">
      <w:pPr>
        <w:pStyle w:val="1"/>
        <w:spacing w:before="0" w:after="0"/>
        <w:jc w:val="center"/>
        <w:rPr>
          <w:rFonts w:ascii="Times New Roman"/>
          <w:color w:val="auto"/>
          <w:sz w:val="30"/>
        </w:rPr>
      </w:pPr>
      <w:bookmarkStart w:id="54" w:name="_Toc256000012"/>
      <w:r w:rsidRPr="009E26D0">
        <w:rPr>
          <w:rFonts w:ascii="Times New Roman"/>
          <w:noProof/>
          <w:color w:val="auto"/>
          <w:sz w:val="30"/>
        </w:rPr>
        <w:lastRenderedPageBreak/>
        <w:t>第十三部分</w:t>
      </w:r>
      <w:r w:rsidRPr="009E26D0">
        <w:rPr>
          <w:rFonts w:ascii="Times New Roman"/>
          <w:noProof/>
          <w:color w:val="auto"/>
          <w:sz w:val="30"/>
        </w:rPr>
        <w:t xml:space="preserve">  </w:t>
      </w:r>
      <w:r w:rsidRPr="009E26D0">
        <w:rPr>
          <w:rFonts w:ascii="Times New Roman"/>
          <w:noProof/>
          <w:color w:val="auto"/>
          <w:sz w:val="30"/>
        </w:rPr>
        <w:t>基金的财产</w:t>
      </w:r>
      <w:bookmarkEnd w:id="54"/>
    </w:p>
    <w:p w14:paraId="54674F53" w14:textId="77777777" w:rsidR="007A2B34" w:rsidRPr="0017353E" w:rsidRDefault="007A2B34" w:rsidP="0090469D"/>
    <w:p w14:paraId="1A5B005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基金资产总值</w:t>
      </w:r>
    </w:p>
    <w:p w14:paraId="3029C820"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基金资产总值是指购买的各类有价证券及票据价值、银行存款本息和基金应收的申购基金款以及其他投资所形成的价值总和。</w:t>
      </w:r>
    </w:p>
    <w:p w14:paraId="4DEF536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基金资产净值</w:t>
      </w:r>
    </w:p>
    <w:p w14:paraId="715EB5A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基金资产净值是指基金资产总值减去基金负债后的价值。</w:t>
      </w:r>
    </w:p>
    <w:p w14:paraId="596CE7A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基金财产的账户</w:t>
      </w:r>
    </w:p>
    <w:p w14:paraId="420076F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26DFE40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基金财产的保管和处分</w:t>
      </w:r>
    </w:p>
    <w:p w14:paraId="763AB5C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455C951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r>
        <w:rPr>
          <w:rFonts w:ascii="宋体" w:hAnsi="宋体" w:cs="宋体"/>
          <w:kern w:val="0"/>
          <w:sz w:val="24"/>
          <w:szCs w:val="24"/>
        </w:rPr>
        <w:br w:type="page"/>
      </w:r>
    </w:p>
    <w:p w14:paraId="0BCF9E19" w14:textId="77777777" w:rsidR="009D63C8" w:rsidRDefault="009713AD" w:rsidP="009E26D0">
      <w:pPr>
        <w:pStyle w:val="1"/>
        <w:spacing w:before="0" w:after="0"/>
        <w:jc w:val="center"/>
        <w:rPr>
          <w:rFonts w:ascii="Times New Roman"/>
          <w:color w:val="auto"/>
          <w:sz w:val="30"/>
        </w:rPr>
      </w:pPr>
      <w:bookmarkStart w:id="55" w:name="_Toc256000013"/>
      <w:r w:rsidRPr="009E26D0">
        <w:rPr>
          <w:rFonts w:ascii="Times New Roman"/>
          <w:noProof/>
          <w:color w:val="auto"/>
          <w:sz w:val="30"/>
        </w:rPr>
        <w:lastRenderedPageBreak/>
        <w:t>第十四部分</w:t>
      </w:r>
      <w:r w:rsidRPr="009E26D0">
        <w:rPr>
          <w:rFonts w:ascii="Times New Roman"/>
          <w:noProof/>
          <w:color w:val="auto"/>
          <w:sz w:val="30"/>
        </w:rPr>
        <w:t xml:space="preserve">  </w:t>
      </w:r>
      <w:r w:rsidRPr="009E26D0">
        <w:rPr>
          <w:rFonts w:ascii="Times New Roman"/>
          <w:noProof/>
          <w:color w:val="auto"/>
          <w:sz w:val="30"/>
        </w:rPr>
        <w:t>基金资产估值</w:t>
      </w:r>
      <w:bookmarkEnd w:id="55"/>
    </w:p>
    <w:p w14:paraId="36F0CE4B" w14:textId="77777777" w:rsidR="007A2B34" w:rsidRPr="0017353E" w:rsidRDefault="007A2B34" w:rsidP="0090469D"/>
    <w:p w14:paraId="4F26E957"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一、估值日</w:t>
      </w:r>
    </w:p>
    <w:p w14:paraId="22D27D2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本基金的估值日为本基金相关的证券交易场所的交易日以及国家法律法规规定需要对外披露基金净值的非交易日。</w:t>
      </w:r>
    </w:p>
    <w:p w14:paraId="0017429E"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二、估值对象</w:t>
      </w:r>
    </w:p>
    <w:p w14:paraId="176362E5"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基金所拥有的股票、债券、资产支持证券、股指期货合约、国债期货合约、股票期权合约和银行存款本息、应收款项、其它投资等资产及负债。</w:t>
      </w:r>
    </w:p>
    <w:p w14:paraId="5AD5A736"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三、估值原则</w:t>
      </w:r>
    </w:p>
    <w:p w14:paraId="517C96B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基金管理人在确定相关金融资产和金融负债的公允价值时，应符合《企业会计准则》、监管部门有关规定。</w:t>
      </w:r>
    </w:p>
    <w:p w14:paraId="33AE6815"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4DBCEA9"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F940BDA"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D977799"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（三）如经济环境发生重大变化或证券发行人发生影响证券价格的重大事件，使潜在估值调整对前一估值日的基金资产净值的影响在0.25%以上的，应对估值进行调整并确定公允价值。</w:t>
      </w:r>
    </w:p>
    <w:p w14:paraId="26D3F469"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四、估值方法</w:t>
      </w:r>
    </w:p>
    <w:p w14:paraId="2C543317"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1、证券交易所上市的有价证券的估值</w:t>
      </w:r>
    </w:p>
    <w:p w14:paraId="3538D61E"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07B11CA"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6C666ADD"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（3）交易所上市不存在活跃市场的有价证券，采用估值技术确定公允价值。</w:t>
      </w:r>
    </w:p>
    <w:p w14:paraId="301EA37C"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2、处于未上市期间的有价证券应区分如下情况处理：</w:t>
      </w:r>
    </w:p>
    <w:p w14:paraId="2272A7FC"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23A34385"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（2）首次公开发行未上市的股票，采用估值技术确定公允价值，在估值技术难以可靠计量公允价值的情况下，按成本估值；</w:t>
      </w:r>
    </w:p>
    <w:p w14:paraId="4961F80B"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4E7596B6"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3、以公允价值计量的固定收益品种</w:t>
      </w:r>
    </w:p>
    <w:p w14:paraId="1023A05B"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（1）对于已上市或已挂牌转让的不含权固定收益品种，选取第三方估值基准服务机构提供的相应品种当日的估值全价；</w:t>
      </w:r>
    </w:p>
    <w:p w14:paraId="41CB8D8A"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（2）对于已上市或已挂牌转让的含权固定收益品种，选取第三方估值基准服务机构提供的相应品种当日的唯一估值全价或推荐估值全价；</w:t>
      </w:r>
    </w:p>
    <w:p w14:paraId="3901AFBD"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w:t>
      </w:r>
      <w:r>
        <w:rPr>
          <w:rFonts w:ascii="宋体" w:hAnsi="宋体" w:cs="宋体"/>
          <w:kern w:val="0"/>
          <w:sz w:val="24"/>
          <w:szCs w:val="24"/>
        </w:rPr>
        <w:lastRenderedPageBreak/>
        <w:t>回售登记期截止日（含当日）后未行使回售权的按照长待偿期所对应的价格进行估值；</w:t>
      </w:r>
    </w:p>
    <w:p w14:paraId="10BFBFE1" w14:textId="77777777" w:rsidR="00A71A93" w:rsidRDefault="009713AD">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eastAsia="Times New Roman"/>
          <w:kern w:val="0"/>
          <w:sz w:val="24"/>
          <w:szCs w:val="24"/>
        </w:rPr>
        <w:t>4</w:t>
      </w:r>
      <w:r>
        <w:rPr>
          <w:rFonts w:ascii="宋体" w:hAnsi="宋体" w:cs="宋体"/>
          <w:kern w:val="0"/>
          <w:sz w:val="24"/>
          <w:szCs w:val="24"/>
        </w:rPr>
        <w:t>）对于未上市或未挂牌转让且不存在活跃市场的固定收益品种，应采用在当前情况下适用并且有足够可利用数据和其他信息支持的估值技术确定其公允价值。</w:t>
      </w:r>
    </w:p>
    <w:p w14:paraId="2730C287" w14:textId="77777777" w:rsidR="00A71A93" w:rsidRDefault="009713AD">
      <w:pPr>
        <w:pStyle w:val="div"/>
        <w:spacing w:line="360" w:lineRule="auto"/>
        <w:ind w:firstLine="480"/>
        <w:rPr>
          <w:rFonts w:ascii="宋体" w:hAnsi="宋体" w:cs="宋体"/>
          <w:kern w:val="0"/>
          <w:sz w:val="24"/>
          <w:szCs w:val="24"/>
        </w:rPr>
      </w:pPr>
      <w:r>
        <w:rPr>
          <w:rStyle w:val="custom"/>
          <w:rFonts w:ascii="宋体" w:hAnsi="宋体" w:cs="宋体"/>
          <w:kern w:val="0"/>
          <w:sz w:val="24"/>
          <w:szCs w:val="24"/>
        </w:rPr>
        <w:t>4、</w:t>
      </w:r>
      <w:r>
        <w:rPr>
          <w:rFonts w:ascii="宋体" w:hAnsi="宋体" w:cs="宋体"/>
          <w:kern w:val="0"/>
          <w:sz w:val="24"/>
          <w:szCs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14A379D5"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5、同一</w:t>
      </w:r>
      <w:r w:rsidR="004365C5">
        <w:rPr>
          <w:rFonts w:ascii="宋体" w:hAnsi="宋体" w:cs="宋体" w:hint="eastAsia"/>
          <w:kern w:val="0"/>
          <w:sz w:val="24"/>
          <w:szCs w:val="24"/>
        </w:rPr>
        <w:t>证券</w:t>
      </w:r>
      <w:r>
        <w:rPr>
          <w:rFonts w:ascii="宋体" w:hAnsi="宋体" w:cs="宋体"/>
          <w:kern w:val="0"/>
          <w:sz w:val="24"/>
          <w:szCs w:val="24"/>
        </w:rPr>
        <w:t>同时在两个或两个以上市场交易的，按</w:t>
      </w:r>
      <w:r w:rsidR="004365C5">
        <w:rPr>
          <w:rFonts w:ascii="宋体" w:hAnsi="宋体" w:cs="宋体" w:hint="eastAsia"/>
          <w:kern w:val="0"/>
          <w:sz w:val="24"/>
          <w:szCs w:val="24"/>
        </w:rPr>
        <w:t>证券</w:t>
      </w:r>
      <w:r>
        <w:rPr>
          <w:rFonts w:ascii="宋体" w:hAnsi="宋体" w:cs="宋体"/>
          <w:kern w:val="0"/>
          <w:sz w:val="24"/>
          <w:szCs w:val="24"/>
        </w:rPr>
        <w:t>所处的市场分别估值。</w:t>
      </w:r>
    </w:p>
    <w:p w14:paraId="5E858A1D"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44105B0B"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7、</w:t>
      </w:r>
      <w:r w:rsidR="00B67E2C" w:rsidRPr="00B67E2C">
        <w:rPr>
          <w:rFonts w:ascii="宋体" w:hAnsi="宋体" w:cs="宋体" w:hint="eastAsia"/>
          <w:kern w:val="0"/>
          <w:sz w:val="24"/>
          <w:szCs w:val="24"/>
        </w:rPr>
        <w:t>本基金投资</w:t>
      </w:r>
      <w:r w:rsidR="00B67E2C">
        <w:rPr>
          <w:rFonts w:ascii="宋体" w:hAnsi="宋体" w:cs="宋体" w:hint="eastAsia"/>
          <w:kern w:val="0"/>
          <w:sz w:val="24"/>
          <w:szCs w:val="24"/>
        </w:rPr>
        <w:t>股票</w:t>
      </w:r>
      <w:r w:rsidR="00B67E2C" w:rsidRPr="00B67E2C">
        <w:rPr>
          <w:rFonts w:ascii="宋体" w:hAnsi="宋体" w:cs="宋体" w:hint="eastAsia"/>
          <w:kern w:val="0"/>
          <w:sz w:val="24"/>
          <w:szCs w:val="24"/>
        </w:rPr>
        <w:t>期权，根据相关法律法规以及监管部门的规定估值。</w:t>
      </w:r>
    </w:p>
    <w:p w14:paraId="42818D09"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8、本基金投资国债期货合约，一般以国债期货估值日的结算价</w:t>
      </w:r>
      <w:r w:rsidR="00245241">
        <w:rPr>
          <w:rFonts w:ascii="宋体" w:hAnsi="宋体" w:cs="宋体" w:hint="eastAsia"/>
          <w:kern w:val="0"/>
          <w:sz w:val="24"/>
          <w:szCs w:val="24"/>
        </w:rPr>
        <w:t>进行</w:t>
      </w:r>
      <w:r>
        <w:rPr>
          <w:rFonts w:ascii="宋体" w:hAnsi="宋体" w:cs="宋体"/>
          <w:kern w:val="0"/>
          <w:sz w:val="24"/>
          <w:szCs w:val="24"/>
        </w:rPr>
        <w:t>估值，估值当日无结算价的，且最近交易日后经济环境未发生重大变化的，采用最近交易日结算价估值。</w:t>
      </w:r>
    </w:p>
    <w:p w14:paraId="7F0C7C84"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9、估值计算中涉及港币或其他外币币种对人民币汇率的，将依据下列信息提供机构所提供的汇率为基准：当日中国人民银行或其授权机构公布的人民币汇率的中间价，或其他可以反映公允价值的汇率进行估值。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1D11C386"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D86B0FD"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10、本基金参与融资和转融通证券出借业务的，按照相关法律法规和行业协会的相关规定进行估值。</w:t>
      </w:r>
    </w:p>
    <w:p w14:paraId="4340B46C"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lastRenderedPageBreak/>
        <w:t>11、本基金投资存托凭证的估值核算，依照境内上市交易的股票进行。</w:t>
      </w:r>
    </w:p>
    <w:p w14:paraId="24567D43" w14:textId="77777777" w:rsidR="00A71A93" w:rsidRDefault="009713AD">
      <w:pPr>
        <w:pStyle w:val="div"/>
        <w:spacing w:line="360" w:lineRule="auto"/>
        <w:ind w:firstLine="480"/>
        <w:jc w:val="left"/>
        <w:rPr>
          <w:rFonts w:ascii="宋体" w:hAnsi="宋体" w:cs="宋体"/>
          <w:kern w:val="0"/>
          <w:sz w:val="24"/>
          <w:szCs w:val="24"/>
        </w:rPr>
      </w:pPr>
      <w:r>
        <w:rPr>
          <w:rFonts w:ascii="宋体" w:hAnsi="宋体" w:cs="宋体"/>
          <w:kern w:val="0"/>
          <w:sz w:val="24"/>
          <w:szCs w:val="24"/>
        </w:rPr>
        <w:t>12、如有确凿证据表明按上述方法进行估值不能客观反映其公允价值的，基金管理人可根据具体情况与基金托管人商定后，按最能反映公允价值的价格估值。</w:t>
      </w:r>
    </w:p>
    <w:p w14:paraId="251027A4"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13、当发生大额申购或赎回情形时，基金管理人可以采用摆动定价机制，以确保基金估值的公平性。</w:t>
      </w:r>
    </w:p>
    <w:p w14:paraId="77CD902C"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14、相关法律法规以及监管部门有强制规定的，从其规定。如有新增事项，按国家最新规定估值。</w:t>
      </w:r>
    </w:p>
    <w:p w14:paraId="2420E0C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1C5BB7E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05AB5764"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五、估值程序</w:t>
      </w:r>
    </w:p>
    <w:p w14:paraId="19444077" w14:textId="77777777" w:rsidR="00A71A93" w:rsidRDefault="009713AD">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1、</w:t>
      </w:r>
      <w:r>
        <w:rPr>
          <w:rFonts w:ascii="宋体" w:hAnsi="宋体" w:cs="宋体"/>
          <w:kern w:val="0"/>
          <w:sz w:val="24"/>
          <w:szCs w:val="24"/>
        </w:rPr>
        <w:t>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6A69E45A"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基金管理人每个估值日计算基金资产净值及各类基金份额净值，并按规定公告。</w:t>
      </w:r>
    </w:p>
    <w:p w14:paraId="7B6A49B4" w14:textId="77777777" w:rsidR="00A71A93" w:rsidRDefault="009713AD">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2、</w:t>
      </w:r>
      <w:r>
        <w:rPr>
          <w:rFonts w:ascii="宋体" w:hAnsi="宋体" w:cs="宋体"/>
          <w:kern w:val="0"/>
          <w:sz w:val="24"/>
          <w:szCs w:val="24"/>
        </w:rPr>
        <w:t>基金管理人应每个估值日对基金资产估值。但基金管理人根据法律法规或本基金合同的规定暂停估值时除外。基金管理人每个估值日对基金资产估值后，将各类基金份额净值结果发送基金托管人，经基金托管人复核无误后，由基金管理人按约定对外公布。</w:t>
      </w:r>
    </w:p>
    <w:p w14:paraId="379A65A5"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六、估值错误的处理</w:t>
      </w:r>
    </w:p>
    <w:p w14:paraId="393A2A1B"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基金管理人和基金托管人将采取必要、适当、合理的措施确保基金资产估值的准确性、及时性。当某类基金份额净值小数点后4位以内(含第4位)发生估值</w:t>
      </w:r>
      <w:r>
        <w:rPr>
          <w:rFonts w:ascii="宋体" w:hAnsi="宋体" w:cs="宋体"/>
          <w:kern w:val="0"/>
          <w:sz w:val="24"/>
          <w:szCs w:val="24"/>
        </w:rPr>
        <w:lastRenderedPageBreak/>
        <w:t>错误时，视为该类基金份额净值错误。</w:t>
      </w:r>
    </w:p>
    <w:p w14:paraId="076E2C5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本基金合同的当事人应按照以下约定处理：</w:t>
      </w:r>
    </w:p>
    <w:p w14:paraId="28A8F4D5"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1、估值错误类型</w:t>
      </w:r>
    </w:p>
    <w:p w14:paraId="74C54B5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4FE76E9E"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上述估值错误的主要类型包括但不限于：资料申报差错、数据传输差错、数据计算差错、系统故障差错、下达指令差错等。</w:t>
      </w:r>
    </w:p>
    <w:p w14:paraId="7C8B778A"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2、估值错误处理原则</w:t>
      </w:r>
    </w:p>
    <w:p w14:paraId="0D75E8AA"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7F6B7B39"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（2）估值错误的责任方对有关当事人的直接损失负责，不对间接损失负责，并且仅对估值错误的有关直接当事人负责，不对第三方负责。</w:t>
      </w:r>
    </w:p>
    <w:p w14:paraId="5963461F"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085FC63"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（4）估值错误调整采用尽量恢复至假设未发生估值错误的正确情形的方式。</w:t>
      </w:r>
    </w:p>
    <w:p w14:paraId="3F3035BC"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3、估值错误处理程序</w:t>
      </w:r>
    </w:p>
    <w:p w14:paraId="378A49F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估值错误被发现后，有关的当事人应当及时进行处理，处理的程序如下：</w:t>
      </w:r>
    </w:p>
    <w:p w14:paraId="4F451679"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（1）查明估值错误发生的原因，列明所有的当事人，并根据估值错误发生的原因确定估值错误的责任方；</w:t>
      </w:r>
    </w:p>
    <w:p w14:paraId="287BF634"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（2）根据估值错误处理原则或当事人协商的方法对因估值错误造成的损失进行评估；</w:t>
      </w:r>
    </w:p>
    <w:p w14:paraId="36A0DEFD"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（3）根据估值错误处理原则或当事人协商的方法由估值错误的责任方进行更正和赔偿损失；</w:t>
      </w:r>
    </w:p>
    <w:p w14:paraId="54976F4B"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（4）根据估值错误处理的方法，需要修改基金登记机构交易数据的，由基金登记机构进行更正，并就估值错误的更正向有关当事人进行确认。</w:t>
      </w:r>
    </w:p>
    <w:p w14:paraId="509572DA"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4、基金份额净值估值错误处理的方法如下：</w:t>
      </w:r>
    </w:p>
    <w:p w14:paraId="1063F089"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（1）某类基金份额净值计算出现错误时，基金管理人应当立即予以纠正，通报基金托管人，并采取合理的措施防止损失进一步扩大。</w:t>
      </w:r>
    </w:p>
    <w:p w14:paraId="650F7B5A"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（2）错误偏差达到该类基金份额净值的0.25%时，基金管理人应当通报基金托管人并报中国证监会备案；错误偏差达到该类基金份额净值的0.5%时，基金管理人应当公告，并报中国证监会备案。</w:t>
      </w:r>
    </w:p>
    <w:p w14:paraId="1DFC25C2"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（3）前述内容如法律法规或监管机构另有规定的，从其规定处理。如果行业另有通行做法，基金管理人和基金托管人应本着平等和保护基金份额持有人利益的原则进行协商。</w:t>
      </w:r>
    </w:p>
    <w:p w14:paraId="6D4132D4"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七、暂停估值的情形</w:t>
      </w:r>
    </w:p>
    <w:p w14:paraId="7947E76C" w14:textId="77777777"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1、基金投资所涉及的证券/期货交易市场遇法定节假日或因其他原因暂停营业时；</w:t>
      </w:r>
    </w:p>
    <w:p w14:paraId="5686168A"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2、因不可抗力或其他情形致使基金管理人、基金托管人无法准确评估基金资产价值时；</w:t>
      </w:r>
    </w:p>
    <w:p w14:paraId="711B9328"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3、当特定资产占前一估值日基金资产净值50%以上的，经与基金托管人协商确认后，基金管理人应当暂停估值；</w:t>
      </w:r>
    </w:p>
    <w:p w14:paraId="49E95C5E"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4、法律法规规定、中国证监会和基金合同认定的其它情形。</w:t>
      </w:r>
    </w:p>
    <w:p w14:paraId="18895F49"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八、基金净值的确认</w:t>
      </w:r>
    </w:p>
    <w:p w14:paraId="691944E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用于基金信息披露的基金资产净值和各类基金份额净值由基金管理人负责</w:t>
      </w:r>
      <w:r>
        <w:rPr>
          <w:rFonts w:ascii="宋体" w:hAnsi="宋体" w:cs="宋体"/>
          <w:kern w:val="0"/>
          <w:sz w:val="24"/>
          <w:szCs w:val="24"/>
        </w:rPr>
        <w:lastRenderedPageBreak/>
        <w:t>计算，基金托管人负责进行复核。基金管理人应于每个估值日交易结束后计算当日的基金资产净值和各类基金份额净值并发送给基金托管人。基金托管人对净值计算结果复核确认后发送给基金管理人，由基金管理人对基金净值按约定予以公布。</w:t>
      </w:r>
    </w:p>
    <w:p w14:paraId="0974C2B6"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九、实施侧袋机制期间的基金资产估值</w:t>
      </w:r>
    </w:p>
    <w:p w14:paraId="5F5E787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本基金实施侧袋机制的，应根据本部分的约定对主袋账户资产进行估值并披露主袋账户的基金净值信息，暂停披露侧袋账户份额净值。</w:t>
      </w:r>
    </w:p>
    <w:p w14:paraId="4640377C"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十、特殊情形的处理</w:t>
      </w:r>
    </w:p>
    <w:p w14:paraId="289D6A1D" w14:textId="77777777" w:rsidR="00A71A93" w:rsidRDefault="009713AD">
      <w:pPr>
        <w:pStyle w:val="div"/>
        <w:spacing w:line="360" w:lineRule="auto"/>
        <w:ind w:firstLine="420"/>
        <w:jc w:val="left"/>
        <w:rPr>
          <w:rFonts w:ascii="宋体" w:hAnsi="宋体" w:cs="宋体"/>
          <w:kern w:val="0"/>
          <w:sz w:val="24"/>
          <w:szCs w:val="24"/>
        </w:rPr>
      </w:pPr>
      <w:r>
        <w:rPr>
          <w:rFonts w:ascii="宋体" w:hAnsi="宋体" w:cs="宋体"/>
          <w:kern w:val="0"/>
          <w:sz w:val="24"/>
          <w:szCs w:val="24"/>
        </w:rPr>
        <w:t>1、基金管理人、基金托管人按本部分有关估值方法约定的第12项进行估值时，所造成的误差不作为基金资产估值错误处理。</w:t>
      </w:r>
    </w:p>
    <w:p w14:paraId="39FC9AC0"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由于证券/期货交易所、登记结算公司、指数编制机构等第三方机构发送的数据错误，或由于其他不可抗力等原因，基金管理人和基金托管人虽然已经采取必要、适当、合理的措施进行检查，但未能发现错误的，由此造成的基金资产估值错误，基金管理人和基金托管人免除赔偿责任。但基金管理人和基金托管人应当积极采取必要的措施减轻或消除由此造成的影响。</w:t>
      </w:r>
      <w:r>
        <w:rPr>
          <w:rFonts w:ascii="宋体" w:hAnsi="宋体" w:cs="宋体"/>
          <w:kern w:val="0"/>
          <w:sz w:val="24"/>
          <w:szCs w:val="24"/>
        </w:rPr>
        <w:br w:type="page"/>
      </w:r>
    </w:p>
    <w:p w14:paraId="2AC984C7" w14:textId="77777777" w:rsidR="009D63C8" w:rsidRDefault="009713AD" w:rsidP="009E26D0">
      <w:pPr>
        <w:pStyle w:val="1"/>
        <w:spacing w:before="0" w:after="0"/>
        <w:jc w:val="center"/>
        <w:rPr>
          <w:rFonts w:ascii="Times New Roman"/>
          <w:color w:val="auto"/>
          <w:sz w:val="30"/>
        </w:rPr>
      </w:pPr>
      <w:bookmarkStart w:id="56" w:name="_Toc256000014"/>
      <w:r w:rsidRPr="009E26D0">
        <w:rPr>
          <w:rFonts w:ascii="Times New Roman"/>
          <w:noProof/>
          <w:color w:val="auto"/>
          <w:sz w:val="30"/>
        </w:rPr>
        <w:lastRenderedPageBreak/>
        <w:t>第十五部分</w:t>
      </w:r>
      <w:r w:rsidRPr="009E26D0">
        <w:rPr>
          <w:rFonts w:ascii="Times New Roman"/>
          <w:noProof/>
          <w:color w:val="auto"/>
          <w:sz w:val="30"/>
        </w:rPr>
        <w:t xml:space="preserve">  </w:t>
      </w:r>
      <w:r w:rsidRPr="009E26D0">
        <w:rPr>
          <w:rFonts w:ascii="Times New Roman"/>
          <w:noProof/>
          <w:color w:val="auto"/>
          <w:sz w:val="30"/>
        </w:rPr>
        <w:t>基金费用与税收</w:t>
      </w:r>
      <w:bookmarkEnd w:id="56"/>
    </w:p>
    <w:p w14:paraId="0FF795A5" w14:textId="77777777" w:rsidR="007A2B34" w:rsidRPr="0017353E" w:rsidRDefault="007A2B34" w:rsidP="0090469D"/>
    <w:p w14:paraId="28349C21" w14:textId="77777777" w:rsidR="00A71A93" w:rsidRDefault="009713AD">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基金费用的种类</w:t>
      </w:r>
    </w:p>
    <w:p w14:paraId="055678E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基金管理人的管理费；</w:t>
      </w:r>
    </w:p>
    <w:p w14:paraId="61680F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基金托管人的托管费；</w:t>
      </w:r>
    </w:p>
    <w:p w14:paraId="7035F0C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3、销售服务费；</w:t>
      </w:r>
    </w:p>
    <w:p w14:paraId="6063959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《基金合同》生效后与基金相关的信息披露费用（但法律法规、中国证监会另有规定的除外）；</w:t>
      </w:r>
    </w:p>
    <w:p w14:paraId="676E361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《基金合同》生效后与基金相关的会计师费、律师费、仲裁费和诉讼费；</w:t>
      </w:r>
    </w:p>
    <w:p w14:paraId="0A1DFCB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基金份额持有人大会费用；</w:t>
      </w:r>
    </w:p>
    <w:p w14:paraId="3B7451E5"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7、基金的证券、期货等交易费用；</w:t>
      </w:r>
    </w:p>
    <w:p w14:paraId="7876831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基金的银行汇划费用；</w:t>
      </w:r>
    </w:p>
    <w:p w14:paraId="759140A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基金的账户开户费用、账户维护费用；</w:t>
      </w:r>
    </w:p>
    <w:p w14:paraId="606A6BB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10、因投资港股通标的股票而产生的各项合理费用；</w:t>
      </w:r>
    </w:p>
    <w:p w14:paraId="6DB3EB2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按照国家有关规定和《基金合同》约定，可以在基金财产中列支的其他费用。</w:t>
      </w:r>
    </w:p>
    <w:p w14:paraId="2A50370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基金费用计提方法、计提标准和支付方式</w:t>
      </w:r>
    </w:p>
    <w:p w14:paraId="625C63C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基金管理人的管理费</w:t>
      </w:r>
    </w:p>
    <w:p w14:paraId="0D6BDD4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本基金的管理费按前一日基金资产净值的0.80%年费率计提。管理费的计算方法如下：</w:t>
      </w:r>
    </w:p>
    <w:p w14:paraId="7E13969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H＝E×0.80%÷当年天数</w:t>
      </w:r>
    </w:p>
    <w:p w14:paraId="5084535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H为每日应计提的基金管理费</w:t>
      </w:r>
    </w:p>
    <w:p w14:paraId="7F7D93C1"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E为前一日的基金资产净值</w:t>
      </w:r>
    </w:p>
    <w:p w14:paraId="0F9A55F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费每日计提，逐日累计至每月月末，按月支付，经基金管理人与基金托管人双方核对无误后，自动在次月初五个工作日内、按照指定的账户路径进行资金支付，基金管理人无需再出具资金划拨指令。若遇法定节假日、休息日</w:t>
      </w:r>
      <w:r w:rsidR="00F869FC" w:rsidRPr="002B3A2D">
        <w:rPr>
          <w:rFonts w:hint="eastAsia"/>
          <w:bCs/>
          <w:sz w:val="24"/>
        </w:rPr>
        <w:t>等，支付日期顺延。费用自动扣划后，</w:t>
      </w:r>
      <w:r w:rsidR="004811D9">
        <w:rPr>
          <w:rFonts w:hint="eastAsia"/>
          <w:bCs/>
          <w:sz w:val="24"/>
        </w:rPr>
        <w:t>基金</w:t>
      </w:r>
      <w:r w:rsidR="00F869FC" w:rsidRPr="002B3A2D">
        <w:rPr>
          <w:rFonts w:hint="eastAsia"/>
          <w:bCs/>
          <w:sz w:val="24"/>
        </w:rPr>
        <w:t>管理人应进行核对，如发现数据不符，及时联系</w:t>
      </w:r>
      <w:r w:rsidR="004811D9">
        <w:rPr>
          <w:rFonts w:hint="eastAsia"/>
          <w:bCs/>
          <w:sz w:val="24"/>
        </w:rPr>
        <w:t>基金</w:t>
      </w:r>
      <w:r w:rsidR="00F869FC" w:rsidRPr="002B3A2D">
        <w:rPr>
          <w:rFonts w:hint="eastAsia"/>
          <w:bCs/>
          <w:sz w:val="24"/>
        </w:rPr>
        <w:t>托管人协商解决。</w:t>
      </w:r>
    </w:p>
    <w:p w14:paraId="2EDFB7B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2、</w:t>
      </w:r>
      <w:r>
        <w:rPr>
          <w:rFonts w:ascii="宋体" w:hAnsi="宋体" w:cs="宋体"/>
          <w:kern w:val="0"/>
          <w:sz w:val="24"/>
          <w:szCs w:val="24"/>
        </w:rPr>
        <w:t>基金托管人的托管费</w:t>
      </w:r>
    </w:p>
    <w:p w14:paraId="5797FE6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本基金的托管费按前一日基金资产净值的0.1</w:t>
      </w:r>
      <w:r w:rsidR="00335397">
        <w:rPr>
          <w:rStyle w:val="custom"/>
          <w:rFonts w:ascii="宋体" w:hAnsi="宋体" w:cs="宋体"/>
          <w:kern w:val="0"/>
          <w:sz w:val="24"/>
          <w:szCs w:val="24"/>
        </w:rPr>
        <w:t>5</w:t>
      </w:r>
      <w:r>
        <w:rPr>
          <w:rStyle w:val="custom"/>
          <w:rFonts w:ascii="宋体" w:hAnsi="宋体" w:cs="宋体"/>
          <w:kern w:val="0"/>
          <w:sz w:val="24"/>
          <w:szCs w:val="24"/>
        </w:rPr>
        <w:t>%的年费率计提。托管费的计算方法如下：</w:t>
      </w:r>
    </w:p>
    <w:p w14:paraId="7D06EF0F"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H＝E×0.1</w:t>
      </w:r>
      <w:r w:rsidR="00FC0161">
        <w:rPr>
          <w:rStyle w:val="custom"/>
          <w:rFonts w:ascii="宋体" w:hAnsi="宋体" w:cs="宋体" w:hint="eastAsia"/>
          <w:kern w:val="0"/>
          <w:sz w:val="24"/>
          <w:szCs w:val="24"/>
        </w:rPr>
        <w:t>5</w:t>
      </w:r>
      <w:r>
        <w:rPr>
          <w:rStyle w:val="custom"/>
          <w:rFonts w:ascii="宋体" w:hAnsi="宋体" w:cs="宋体"/>
          <w:kern w:val="0"/>
          <w:sz w:val="24"/>
          <w:szCs w:val="24"/>
        </w:rPr>
        <w:t>%÷当年天数</w:t>
      </w:r>
    </w:p>
    <w:p w14:paraId="0E0DFD2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H为每日应计提的基金托管费</w:t>
      </w:r>
    </w:p>
    <w:p w14:paraId="49B56775"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E为前一日的基金资产净值</w:t>
      </w:r>
    </w:p>
    <w:p w14:paraId="4F4EC66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托管费每日计提，逐日累计至每月月末，按月支付，经基金管理人与基金托管人双方核对无误后，自动在次月初五个工作日内、按照指定的账户路径进行资金支付，基金管理人无需再出具资金划拨指令。若遇法定节假日、休息日</w:t>
      </w:r>
      <w:r w:rsidR="00EC03A4" w:rsidRPr="00157FB7">
        <w:rPr>
          <w:rFonts w:hint="eastAsia"/>
          <w:bCs/>
          <w:sz w:val="24"/>
        </w:rPr>
        <w:t>等，支付日期顺延。费用自动扣划后，</w:t>
      </w:r>
      <w:r w:rsidR="004811D9">
        <w:rPr>
          <w:rFonts w:hint="eastAsia"/>
          <w:bCs/>
          <w:sz w:val="24"/>
        </w:rPr>
        <w:t>基金</w:t>
      </w:r>
      <w:r w:rsidR="00EC03A4" w:rsidRPr="00157FB7">
        <w:rPr>
          <w:rFonts w:hint="eastAsia"/>
          <w:bCs/>
          <w:sz w:val="24"/>
        </w:rPr>
        <w:t>管理人应进行核对，如发现数据不符，及时联系</w:t>
      </w:r>
      <w:r w:rsidR="004811D9">
        <w:rPr>
          <w:rFonts w:hint="eastAsia"/>
          <w:bCs/>
          <w:sz w:val="24"/>
        </w:rPr>
        <w:t>基金</w:t>
      </w:r>
      <w:r w:rsidR="00EC03A4" w:rsidRPr="00157FB7">
        <w:rPr>
          <w:rFonts w:hint="eastAsia"/>
          <w:bCs/>
          <w:sz w:val="24"/>
        </w:rPr>
        <w:t>托管人协商解决。</w:t>
      </w:r>
    </w:p>
    <w:p w14:paraId="1C1D26A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3、销售服务费</w:t>
      </w:r>
    </w:p>
    <w:p w14:paraId="25614723" w14:textId="1BA17C88" w:rsidR="00A71A93" w:rsidRDefault="009713AD">
      <w:pPr>
        <w:pStyle w:val="div"/>
        <w:spacing w:line="360" w:lineRule="auto"/>
        <w:ind w:firstLine="480"/>
        <w:rPr>
          <w:rStyle w:val="custom"/>
          <w:rFonts w:ascii="宋体" w:hAnsi="宋体" w:cs="宋体"/>
          <w:kern w:val="0"/>
          <w:sz w:val="24"/>
          <w:szCs w:val="24"/>
        </w:rPr>
      </w:pPr>
      <w:r>
        <w:rPr>
          <w:rStyle w:val="custom"/>
          <w:rFonts w:ascii="宋体" w:hAnsi="宋体" w:cs="宋体"/>
          <w:kern w:val="0"/>
          <w:sz w:val="24"/>
          <w:szCs w:val="24"/>
        </w:rPr>
        <w:t>本基金A类基金份额不收取销售服务费，C类基金份额的销售服务费年费率为0.</w:t>
      </w:r>
      <w:r w:rsidR="00181B34">
        <w:rPr>
          <w:rStyle w:val="custom"/>
          <w:rFonts w:ascii="宋体" w:hAnsi="宋体" w:cs="宋体"/>
          <w:kern w:val="0"/>
          <w:sz w:val="24"/>
          <w:szCs w:val="24"/>
        </w:rPr>
        <w:t>20</w:t>
      </w:r>
      <w:r>
        <w:rPr>
          <w:rStyle w:val="custom"/>
          <w:rFonts w:ascii="宋体" w:hAnsi="宋体" w:cs="宋体"/>
          <w:kern w:val="0"/>
          <w:sz w:val="24"/>
          <w:szCs w:val="24"/>
        </w:rPr>
        <w:t>%。</w:t>
      </w:r>
    </w:p>
    <w:p w14:paraId="1FF2DB7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计算方法如下：</w:t>
      </w:r>
    </w:p>
    <w:p w14:paraId="42DA1E3A" w14:textId="380CBBF6"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w:t>
      </w:r>
      <w:r w:rsidR="00181B34">
        <w:rPr>
          <w:rStyle w:val="custom"/>
          <w:rFonts w:ascii="宋体" w:hAnsi="宋体" w:cs="宋体"/>
          <w:kern w:val="0"/>
          <w:sz w:val="24"/>
          <w:szCs w:val="24"/>
        </w:rPr>
        <w:t>20</w:t>
      </w:r>
      <w:r>
        <w:rPr>
          <w:rStyle w:val="custom"/>
          <w:rFonts w:ascii="宋体" w:hAnsi="宋体" w:cs="宋体"/>
          <w:kern w:val="0"/>
          <w:sz w:val="24"/>
          <w:szCs w:val="24"/>
        </w:rPr>
        <w:t>%÷当年天数</w:t>
      </w:r>
    </w:p>
    <w:p w14:paraId="44C6612D"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H为C类基金份额每日应计提的销售服务费</w:t>
      </w:r>
    </w:p>
    <w:p w14:paraId="098AC77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E为C类基金份额前一日基金资产净值</w:t>
      </w:r>
    </w:p>
    <w:p w14:paraId="2C135BC7" w14:textId="3C6E0FA5" w:rsidR="00A71A93" w:rsidRDefault="009713AD">
      <w:pPr>
        <w:pStyle w:val="div"/>
        <w:spacing w:line="360" w:lineRule="auto"/>
        <w:ind w:firstLine="420"/>
        <w:rPr>
          <w:bCs/>
          <w:sz w:val="24"/>
        </w:rPr>
      </w:pPr>
      <w:r>
        <w:rPr>
          <w:rStyle w:val="custom"/>
          <w:rFonts w:ascii="宋体" w:hAnsi="宋体" w:cs="宋体"/>
          <w:kern w:val="0"/>
          <w:sz w:val="24"/>
          <w:szCs w:val="24"/>
        </w:rPr>
        <w:t>销售服务费每日计提，逐日累计至每月月末，按月支付</w:t>
      </w:r>
      <w:r w:rsidR="00181B34">
        <w:rPr>
          <w:rStyle w:val="custom"/>
          <w:rFonts w:ascii="宋体" w:hAnsi="宋体" w:cs="宋体" w:hint="eastAsia"/>
          <w:kern w:val="0"/>
          <w:sz w:val="24"/>
          <w:szCs w:val="24"/>
        </w:rPr>
        <w:t>。</w:t>
      </w:r>
      <w:r w:rsidR="00181B34">
        <w:rPr>
          <w:rFonts w:hint="eastAsia"/>
          <w:bCs/>
          <w:sz w:val="24"/>
        </w:rPr>
        <w:t>对于确认为基金财产支付的销售服务费</w:t>
      </w:r>
      <w:r>
        <w:rPr>
          <w:rStyle w:val="custom"/>
          <w:rFonts w:ascii="宋体" w:hAnsi="宋体" w:cs="宋体"/>
          <w:kern w:val="0"/>
          <w:sz w:val="24"/>
          <w:szCs w:val="24"/>
        </w:rPr>
        <w:t>，自动在次月初五个工作日内、按照指定的账户路径进行资金支付，基金管理人无需再出具资金划拨指令。若遇法定节假日、休息日</w:t>
      </w:r>
      <w:r w:rsidR="001134F4" w:rsidRPr="00157FB7">
        <w:rPr>
          <w:rFonts w:hint="eastAsia"/>
          <w:bCs/>
          <w:sz w:val="24"/>
        </w:rPr>
        <w:t>等，支付日期顺延。费用自动扣划后，</w:t>
      </w:r>
      <w:r w:rsidR="004811D9">
        <w:rPr>
          <w:rFonts w:hint="eastAsia"/>
          <w:bCs/>
          <w:sz w:val="24"/>
        </w:rPr>
        <w:t>基金</w:t>
      </w:r>
      <w:r w:rsidR="001134F4" w:rsidRPr="00157FB7">
        <w:rPr>
          <w:rFonts w:hint="eastAsia"/>
          <w:bCs/>
          <w:sz w:val="24"/>
        </w:rPr>
        <w:t>管理人应进行核对，如发现数据不符，及时联系</w:t>
      </w:r>
      <w:r w:rsidR="004811D9">
        <w:rPr>
          <w:rFonts w:hint="eastAsia"/>
          <w:bCs/>
          <w:sz w:val="24"/>
        </w:rPr>
        <w:t>基金</w:t>
      </w:r>
      <w:r w:rsidR="001134F4" w:rsidRPr="00157FB7">
        <w:rPr>
          <w:rFonts w:hint="eastAsia"/>
          <w:bCs/>
          <w:sz w:val="24"/>
        </w:rPr>
        <w:t>托管人协商解决。</w:t>
      </w:r>
    </w:p>
    <w:p w14:paraId="3C8E05BE" w14:textId="77777777" w:rsidR="00181B34" w:rsidRPr="00BC4833" w:rsidRDefault="00181B34" w:rsidP="00181B34">
      <w:pPr>
        <w:spacing w:line="348" w:lineRule="auto"/>
        <w:ind w:firstLineChars="200" w:firstLine="480"/>
        <w:rPr>
          <w:rStyle w:val="custom"/>
          <w:rFonts w:ascii="宋体" w:hAnsi="宋体" w:cs="宋体"/>
          <w:kern w:val="0"/>
          <w:sz w:val="24"/>
          <w:szCs w:val="24"/>
        </w:rPr>
      </w:pPr>
      <w:bookmarkStart w:id="57" w:name="_Hlk218539030"/>
      <w:r>
        <w:rPr>
          <w:rFonts w:hint="eastAsia"/>
          <w:bCs/>
          <w:sz w:val="24"/>
        </w:rPr>
        <w:t>其中，对于投资者通过直销机构认购</w:t>
      </w:r>
      <w:r>
        <w:rPr>
          <w:bCs/>
          <w:sz w:val="24"/>
        </w:rPr>
        <w:t>/</w:t>
      </w:r>
      <w:r>
        <w:rPr>
          <w:rFonts w:hint="eastAsia"/>
          <w:bCs/>
          <w:sz w:val="24"/>
        </w:rPr>
        <w:t>申购的</w:t>
      </w:r>
      <w:bookmarkStart w:id="58" w:name="_Hlk218688853"/>
      <w:r>
        <w:rPr>
          <w:rFonts w:hint="eastAsia"/>
          <w:bCs/>
          <w:sz w:val="24"/>
          <w:lang w:bidi="en-US"/>
        </w:rPr>
        <w:t>C</w:t>
      </w:r>
      <w:r>
        <w:rPr>
          <w:rFonts w:hint="eastAsia"/>
          <w:bCs/>
          <w:sz w:val="24"/>
          <w:lang w:bidi="en-US"/>
        </w:rPr>
        <w:t>类基金份额所计提的销售服务费</w:t>
      </w:r>
      <w:bookmarkEnd w:id="58"/>
      <w:r>
        <w:rPr>
          <w:rFonts w:hint="eastAsia"/>
          <w:bCs/>
          <w:sz w:val="24"/>
        </w:rPr>
        <w:t>或者通过其他销售机构认购</w:t>
      </w:r>
      <w:r>
        <w:rPr>
          <w:bCs/>
          <w:sz w:val="24"/>
        </w:rPr>
        <w:t>/</w:t>
      </w:r>
      <w:r>
        <w:rPr>
          <w:rFonts w:hint="eastAsia"/>
          <w:bCs/>
          <w:sz w:val="24"/>
        </w:rPr>
        <w:t>申购且持续持有期限超过一年</w:t>
      </w:r>
      <w:bookmarkStart w:id="59" w:name="_Hlk218688858"/>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天）以后继续计提</w:t>
      </w:r>
      <w:bookmarkEnd w:id="59"/>
      <w:r>
        <w:rPr>
          <w:rFonts w:hint="eastAsia"/>
          <w:bCs/>
          <w:sz w:val="24"/>
        </w:rPr>
        <w:t>的</w:t>
      </w:r>
      <w:r>
        <w:rPr>
          <w:bCs/>
          <w:sz w:val="24"/>
        </w:rPr>
        <w:t>C</w:t>
      </w:r>
      <w:r>
        <w:rPr>
          <w:rFonts w:hint="eastAsia"/>
          <w:bCs/>
          <w:sz w:val="24"/>
        </w:rPr>
        <w:t>类基金份额销售服务费，将在投资者赎回相应基金份额或基金合同终止时随赎回款或清算款一并返还给投资者。</w:t>
      </w:r>
      <w:bookmarkEnd w:id="57"/>
    </w:p>
    <w:p w14:paraId="7DB4AD9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上述“一、基金费用的种类”中第</w:t>
      </w:r>
      <w:r>
        <w:rPr>
          <w:rStyle w:val="custom"/>
          <w:rFonts w:ascii="宋体" w:hAnsi="宋体" w:cs="宋体"/>
          <w:kern w:val="0"/>
          <w:sz w:val="24"/>
          <w:szCs w:val="24"/>
        </w:rPr>
        <w:t>4</w:t>
      </w:r>
      <w:r>
        <w:rPr>
          <w:rFonts w:ascii="宋体" w:hAnsi="宋体" w:cs="宋体"/>
          <w:kern w:val="0"/>
          <w:sz w:val="24"/>
          <w:szCs w:val="24"/>
        </w:rPr>
        <w:t>－</w:t>
      </w:r>
      <w:r>
        <w:rPr>
          <w:rStyle w:val="custom"/>
          <w:rFonts w:ascii="宋体" w:hAnsi="宋体" w:cs="宋体"/>
          <w:kern w:val="0"/>
          <w:sz w:val="24"/>
          <w:szCs w:val="24"/>
        </w:rPr>
        <w:t>11</w:t>
      </w:r>
      <w:r>
        <w:rPr>
          <w:rFonts w:ascii="宋体" w:hAnsi="宋体" w:cs="宋体"/>
          <w:kern w:val="0"/>
          <w:sz w:val="24"/>
          <w:szCs w:val="24"/>
        </w:rPr>
        <w:t>项费用，根据有关法规及相应协议规定，按费用实际支出金额列入当期费用，由基金托管人从基金财产中支付。</w:t>
      </w:r>
    </w:p>
    <w:p w14:paraId="1773906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不列入基金费用的项目</w:t>
      </w:r>
    </w:p>
    <w:p w14:paraId="4778B66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下列费用不列入基金费用：</w:t>
      </w:r>
    </w:p>
    <w:p w14:paraId="7CFB9E6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基金管理人和基金托管人因未履行或未完全履行义务导致的费用支出或基金财产的损失；</w:t>
      </w:r>
    </w:p>
    <w:p w14:paraId="5BF9E78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基金管理人和基金托管人处理与基金运作无关的事项发生的费用；</w:t>
      </w:r>
    </w:p>
    <w:p w14:paraId="1D352DB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《基金合同》生效前的相关费用；</w:t>
      </w:r>
    </w:p>
    <w:p w14:paraId="1C26C9D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4、基金的指数许可使用费（该费用由基金管理人承担）；</w:t>
      </w:r>
    </w:p>
    <w:p w14:paraId="171A6EE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其他根据相关法律法规及中国证监会的有关规定不得列入基金费用的项目。</w:t>
      </w:r>
    </w:p>
    <w:p w14:paraId="6C1DBBC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实施侧袋机制期间的基金费用</w:t>
      </w:r>
    </w:p>
    <w:p w14:paraId="4BB8D68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本基金实施侧袋机制的，与侧袋账户有关的费用可以从侧袋账户中列支，但应待侧袋账户资产变现后方可列支，有关费用可酌情收取或减免，但不得收取管理费，详见招募说明书的规定。</w:t>
      </w:r>
    </w:p>
    <w:p w14:paraId="0D0A8C7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基金税收</w:t>
      </w:r>
    </w:p>
    <w:p w14:paraId="68BAF35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r>
        <w:rPr>
          <w:rFonts w:ascii="宋体" w:hAnsi="宋体" w:cs="宋体"/>
          <w:kern w:val="0"/>
          <w:sz w:val="24"/>
          <w:szCs w:val="24"/>
        </w:rPr>
        <w:br w:type="page"/>
      </w:r>
    </w:p>
    <w:p w14:paraId="67162918" w14:textId="77777777" w:rsidR="009D63C8" w:rsidRDefault="009713AD" w:rsidP="009E26D0">
      <w:pPr>
        <w:pStyle w:val="1"/>
        <w:spacing w:before="0" w:after="0"/>
        <w:jc w:val="center"/>
        <w:rPr>
          <w:rFonts w:ascii="Times New Roman"/>
          <w:color w:val="auto"/>
          <w:sz w:val="30"/>
        </w:rPr>
      </w:pPr>
      <w:bookmarkStart w:id="60" w:name="_Toc256000015"/>
      <w:r w:rsidRPr="009E26D0">
        <w:rPr>
          <w:rFonts w:ascii="Times New Roman"/>
          <w:noProof/>
          <w:color w:val="auto"/>
          <w:sz w:val="30"/>
        </w:rPr>
        <w:lastRenderedPageBreak/>
        <w:t>第十六部分</w:t>
      </w:r>
      <w:r w:rsidRPr="009E26D0">
        <w:rPr>
          <w:rFonts w:ascii="Times New Roman"/>
          <w:noProof/>
          <w:color w:val="auto"/>
          <w:sz w:val="30"/>
        </w:rPr>
        <w:t xml:space="preserve">  </w:t>
      </w:r>
      <w:r w:rsidRPr="009E26D0">
        <w:rPr>
          <w:rFonts w:ascii="Times New Roman"/>
          <w:noProof/>
          <w:color w:val="auto"/>
          <w:sz w:val="30"/>
        </w:rPr>
        <w:t>基金的收益与分配</w:t>
      </w:r>
      <w:bookmarkEnd w:id="60"/>
    </w:p>
    <w:p w14:paraId="58336B6A" w14:textId="77777777" w:rsidR="007A2B34" w:rsidRPr="0017353E" w:rsidRDefault="007A2B34" w:rsidP="0090469D"/>
    <w:p w14:paraId="47AC985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基金利润的构成</w:t>
      </w:r>
    </w:p>
    <w:p w14:paraId="435D7C2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14:paraId="7471AF2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基金可供分配利润</w:t>
      </w:r>
    </w:p>
    <w:p w14:paraId="4858443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14:paraId="7D3E4A9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基金收益分配原则</w:t>
      </w:r>
    </w:p>
    <w:p w14:paraId="59C0AE2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在符合有关基金分红条件的前提下，本基金可进行基金收益分配，若《基金合同》生效不满3个月可不进行收益分配；</w:t>
      </w:r>
    </w:p>
    <w:p w14:paraId="4FE57DE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本基金收益分配方式分两种：现金分红与红利再投资，投资者可选择现金红利或将现金红利自动转为相应类别的基金份额进行再投资，基金份额持有人可对A类、C类基金份额分别选择不同的分红方式；若投资者不选择，本基金默认的收益分配方式是现金分红；</w:t>
      </w:r>
    </w:p>
    <w:p w14:paraId="321C1D86" w14:textId="77777777" w:rsidR="00A71A93" w:rsidRDefault="009713AD">
      <w:pPr>
        <w:pStyle w:val="div"/>
        <w:spacing w:line="360" w:lineRule="auto"/>
        <w:ind w:firstLine="420"/>
        <w:rPr>
          <w:rFonts w:eastAsia="Times New Roman"/>
          <w:kern w:val="0"/>
          <w:sz w:val="24"/>
          <w:szCs w:val="24"/>
        </w:rPr>
      </w:pPr>
      <w:r>
        <w:rPr>
          <w:rStyle w:val="serial-tag"/>
          <w:rFonts w:ascii="宋体" w:hAnsi="宋体" w:cs="宋体"/>
          <w:kern w:val="0"/>
          <w:sz w:val="24"/>
          <w:szCs w:val="24"/>
        </w:rPr>
        <w:t>3、</w:t>
      </w:r>
      <w:r>
        <w:rPr>
          <w:rFonts w:ascii="宋体" w:hAnsi="宋体" w:cs="宋体"/>
          <w:kern w:val="0"/>
          <w:sz w:val="24"/>
          <w:szCs w:val="24"/>
        </w:rPr>
        <w:t>基金管理人可对基金相对业绩比较基准的超额收益率和/或基金的可供分配利润进行评价，当收益评价日核定的超额收益率或者基金可供分配利润金额大于零时，基金管理人可进行收益分配；</w:t>
      </w:r>
    </w:p>
    <w:p w14:paraId="7BA57B43" w14:textId="77777777" w:rsidR="00A71A93" w:rsidRDefault="009713AD">
      <w:pPr>
        <w:pStyle w:val="div"/>
        <w:spacing w:line="360" w:lineRule="auto"/>
        <w:ind w:firstLine="420"/>
        <w:rPr>
          <w:rFonts w:eastAsia="Times New Roman"/>
          <w:kern w:val="0"/>
          <w:sz w:val="24"/>
          <w:szCs w:val="24"/>
        </w:rPr>
      </w:pPr>
      <w:r>
        <w:rPr>
          <w:rStyle w:val="serial-tag"/>
          <w:rFonts w:ascii="宋体" w:hAnsi="宋体" w:cs="宋体"/>
          <w:kern w:val="0"/>
          <w:sz w:val="24"/>
          <w:szCs w:val="24"/>
        </w:rPr>
        <w:t>4、</w:t>
      </w:r>
      <w:r>
        <w:rPr>
          <w:rFonts w:ascii="宋体" w:hAnsi="宋体" w:cs="宋体"/>
          <w:kern w:val="0"/>
          <w:sz w:val="24"/>
          <w:szCs w:val="24"/>
        </w:rPr>
        <w:t>当基金收益分配根据基金相对业绩比较基准的超额收益率决定时，基于本基金的特点，本基金收益分配无需以弥补亏损为前提，收益分配后</w:t>
      </w:r>
      <w:r w:rsidR="00EA6335">
        <w:rPr>
          <w:rFonts w:ascii="宋体" w:hAnsi="宋体" w:cs="宋体"/>
          <w:kern w:val="0"/>
          <w:sz w:val="24"/>
          <w:szCs w:val="24"/>
        </w:rPr>
        <w:t>各类</w:t>
      </w:r>
      <w:r>
        <w:rPr>
          <w:rFonts w:ascii="宋体" w:hAnsi="宋体" w:cs="宋体"/>
          <w:kern w:val="0"/>
          <w:sz w:val="24"/>
          <w:szCs w:val="24"/>
        </w:rPr>
        <w:t>基金份额净值有可能低于面值；当基金收益分配根据基金可供分配利润金额决定时，本基金收益分配后各类基金份额净值不能低于面值，即基金收益分配基准日的各类基金份额净值减去每单位该类基金份额收益分配金额后不能低于面值；</w:t>
      </w:r>
    </w:p>
    <w:p w14:paraId="1676B486"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5、同一类别内每一基金份额享有同等分配权；</w:t>
      </w:r>
    </w:p>
    <w:p w14:paraId="62F843D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法律法规或监管机构另有规定的，从其规定。</w:t>
      </w:r>
    </w:p>
    <w:p w14:paraId="694F2355"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在不违反法律法规且对基金份额持有人利益无实质性不利影响的前提下，基金管理人</w:t>
      </w:r>
      <w:r w:rsidR="00FC0161">
        <w:rPr>
          <w:rFonts w:ascii="宋体" w:hAnsi="宋体" w:cs="宋体" w:hint="eastAsia"/>
          <w:kern w:val="0"/>
          <w:sz w:val="24"/>
          <w:szCs w:val="24"/>
        </w:rPr>
        <w:t>在与基金托管人协商一致</w:t>
      </w:r>
      <w:r w:rsidR="00527B93">
        <w:rPr>
          <w:rFonts w:ascii="宋体" w:hAnsi="宋体" w:cs="宋体" w:hint="eastAsia"/>
          <w:kern w:val="0"/>
          <w:sz w:val="24"/>
          <w:szCs w:val="24"/>
        </w:rPr>
        <w:t>后，经履行适当程序，</w:t>
      </w:r>
      <w:r>
        <w:rPr>
          <w:rFonts w:ascii="宋体" w:hAnsi="宋体" w:cs="宋体"/>
          <w:kern w:val="0"/>
          <w:sz w:val="24"/>
          <w:szCs w:val="24"/>
        </w:rPr>
        <w:t>可对基金收益分配原则进行调整，无需召开基金份额持有人大会。</w:t>
      </w:r>
    </w:p>
    <w:p w14:paraId="1C0B75B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收益分配方案</w:t>
      </w:r>
    </w:p>
    <w:p w14:paraId="7EB0587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基金收益分配方案中应载明截至收益分配基准日的可供分配利润、基金收益分配对象、分配时间、分配数额及比例、分配方式等内容。</w:t>
      </w:r>
    </w:p>
    <w:p w14:paraId="4E3E4BF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收益分配方案的确定、公告与实施</w:t>
      </w:r>
    </w:p>
    <w:p w14:paraId="46F4CC8C"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本基金收益分配方案由基金管理人拟定，并由基金托管人复核，在2日内在规定媒介公告。</w:t>
      </w:r>
    </w:p>
    <w:p w14:paraId="3857E8D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基金收益分配中发生的费用</w:t>
      </w:r>
    </w:p>
    <w:p w14:paraId="1F8C0248"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594041E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实施侧袋机制期间的收益分配</w:t>
      </w:r>
    </w:p>
    <w:p w14:paraId="112CE1C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本基金实施侧袋机制的，侧袋账户不进行收益分配，详见招募说明书的规定。</w:t>
      </w:r>
      <w:r>
        <w:rPr>
          <w:rFonts w:ascii="宋体" w:hAnsi="宋体" w:cs="宋体"/>
          <w:kern w:val="0"/>
          <w:sz w:val="24"/>
          <w:szCs w:val="24"/>
        </w:rPr>
        <w:br w:type="page"/>
      </w:r>
    </w:p>
    <w:p w14:paraId="01DF8018" w14:textId="77777777" w:rsidR="009D63C8" w:rsidRDefault="009713AD" w:rsidP="009E26D0">
      <w:pPr>
        <w:pStyle w:val="1"/>
        <w:spacing w:before="0" w:after="0"/>
        <w:jc w:val="center"/>
        <w:rPr>
          <w:rFonts w:ascii="Times New Roman"/>
          <w:color w:val="auto"/>
          <w:sz w:val="30"/>
        </w:rPr>
      </w:pPr>
      <w:bookmarkStart w:id="61" w:name="_Toc256000016"/>
      <w:r w:rsidRPr="009E26D0">
        <w:rPr>
          <w:rFonts w:ascii="Times New Roman"/>
          <w:noProof/>
          <w:color w:val="auto"/>
          <w:sz w:val="30"/>
        </w:rPr>
        <w:lastRenderedPageBreak/>
        <w:t>第十七部分</w:t>
      </w:r>
      <w:r w:rsidRPr="009E26D0">
        <w:rPr>
          <w:rFonts w:ascii="Times New Roman"/>
          <w:noProof/>
          <w:color w:val="auto"/>
          <w:sz w:val="30"/>
        </w:rPr>
        <w:t xml:space="preserve">  </w:t>
      </w:r>
      <w:r w:rsidRPr="009E26D0">
        <w:rPr>
          <w:rFonts w:ascii="Times New Roman"/>
          <w:noProof/>
          <w:color w:val="auto"/>
          <w:sz w:val="30"/>
        </w:rPr>
        <w:t>基金的会计与审计</w:t>
      </w:r>
      <w:bookmarkEnd w:id="61"/>
    </w:p>
    <w:p w14:paraId="7641CD8A" w14:textId="77777777" w:rsidR="007A2B34" w:rsidRPr="0017353E" w:rsidRDefault="007A2B34" w:rsidP="0090469D"/>
    <w:p w14:paraId="5577298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一、基金会计政策</w:t>
      </w:r>
    </w:p>
    <w:p w14:paraId="5780533E"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1、基金管理人为本基金的基金会计责任方；</w:t>
      </w:r>
    </w:p>
    <w:p w14:paraId="7106446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2、基金的会计年度为公历年度的1月1日至12月31日；</w:t>
      </w:r>
      <w:r>
        <w:rPr>
          <w:rStyle w:val="custom"/>
          <w:rFonts w:ascii="宋体" w:hAnsi="宋体" w:cs="宋体"/>
          <w:kern w:val="0"/>
          <w:sz w:val="24"/>
          <w:szCs w:val="24"/>
        </w:rPr>
        <w:t>基金首次募集的会计年度按如下原则：如果《基金合同》生效少于2个月，可以并入下一个会计年度披露；</w:t>
      </w:r>
    </w:p>
    <w:p w14:paraId="187AAC7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3、基金核算以人民币为记账本位币，以人民币元为记账单位；</w:t>
      </w:r>
    </w:p>
    <w:p w14:paraId="3537EA23"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4、会计制度执行国家有关会计制度；</w:t>
      </w:r>
    </w:p>
    <w:p w14:paraId="3D1E196E"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5、本基金独立建账、独立核算；</w:t>
      </w:r>
    </w:p>
    <w:p w14:paraId="46C26D33"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6、基金管理人及基金托管人各自保留完整的会计账目、凭证并进行日常的会计核算，按照有关规定编制基金会计报表；</w:t>
      </w:r>
    </w:p>
    <w:p w14:paraId="2BE4080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7、基金托管人每月与基金管理人就基金的会计核算、报表编制等进行核对并以书面方式确认。</w:t>
      </w:r>
    </w:p>
    <w:p w14:paraId="6613FD5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二、基金的年度审计</w:t>
      </w:r>
    </w:p>
    <w:p w14:paraId="27EA801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1、基金管理人聘请与基金管理人、基金托管人相互独立的符合《中华人民共和国证券法》规定的会计师事务所及其注册会计师对本基金的年度财务报表进行审计。</w:t>
      </w:r>
    </w:p>
    <w:p w14:paraId="6A40E6DE"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2、会计师事务所更换经办注册会计师，应事先征得基金管理人同意。</w:t>
      </w:r>
    </w:p>
    <w:p w14:paraId="56E5BDCB"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3、基金管理人认为有充足理由更换会计师事务所，须通报基金托管人。更换会计师事务所需在2日内在规定媒介公告。</w:t>
      </w:r>
      <w:r>
        <w:rPr>
          <w:rFonts w:ascii="宋体" w:hAnsi="宋体" w:cs="宋体"/>
          <w:kern w:val="0"/>
          <w:sz w:val="24"/>
          <w:szCs w:val="24"/>
        </w:rPr>
        <w:br w:type="page"/>
      </w:r>
    </w:p>
    <w:p w14:paraId="46AF0B35" w14:textId="77777777" w:rsidR="009D63C8" w:rsidRDefault="009713AD" w:rsidP="009E26D0">
      <w:pPr>
        <w:pStyle w:val="1"/>
        <w:spacing w:before="0" w:after="0"/>
        <w:jc w:val="center"/>
        <w:rPr>
          <w:rFonts w:ascii="Times New Roman"/>
          <w:color w:val="auto"/>
          <w:sz w:val="30"/>
        </w:rPr>
      </w:pPr>
      <w:bookmarkStart w:id="62" w:name="_Toc256000017"/>
      <w:r w:rsidRPr="009E26D0">
        <w:rPr>
          <w:rFonts w:ascii="Times New Roman"/>
          <w:noProof/>
          <w:color w:val="auto"/>
          <w:sz w:val="30"/>
        </w:rPr>
        <w:lastRenderedPageBreak/>
        <w:t>第十八部分</w:t>
      </w:r>
      <w:r w:rsidRPr="009E26D0">
        <w:rPr>
          <w:rFonts w:ascii="Times New Roman"/>
          <w:noProof/>
          <w:color w:val="auto"/>
          <w:sz w:val="30"/>
        </w:rPr>
        <w:t xml:space="preserve">  </w:t>
      </w:r>
      <w:r w:rsidRPr="009E26D0">
        <w:rPr>
          <w:rFonts w:ascii="Times New Roman"/>
          <w:noProof/>
          <w:color w:val="auto"/>
          <w:sz w:val="30"/>
        </w:rPr>
        <w:t>基金的信息披露</w:t>
      </w:r>
      <w:bookmarkEnd w:id="62"/>
    </w:p>
    <w:p w14:paraId="444DD0C3" w14:textId="77777777" w:rsidR="007A2B34" w:rsidRPr="0017353E" w:rsidRDefault="007A2B34" w:rsidP="0090469D"/>
    <w:p w14:paraId="784EA0E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本基金的信息披露应符合《基金法》、《运作办法》、《信息披露办法》、《流动性风险管理规定》、《基金合同》及其他有关规定。相关法律法规关于信息披露的规定发生变化时，本基金从其最新规定。</w:t>
      </w:r>
    </w:p>
    <w:p w14:paraId="7B7EC1F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信息披露义务人</w:t>
      </w:r>
    </w:p>
    <w:p w14:paraId="48E4D04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本基金信息披露义务人包括基金管理人、基金托管人、召集基金份额持有人大会的基金份额持有人等法律法规和中国证监会规定的自然人、法人和非法人组织。</w:t>
      </w:r>
    </w:p>
    <w:p w14:paraId="0D1693F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本基金信息披露义务人以保护基金份额持有人利益为根本出发点，按照法律法规和中国证监会的规定披露基金信息，并保证所披露信息的真实性、准确性、完整性、及时性、简明性和易得性。</w:t>
      </w:r>
    </w:p>
    <w:p w14:paraId="3636A38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应当在中国证监会规定时间内，将应予披露的基金信息通过符合中国证监会规定条件的全国性报刊（以下简称“规定报刊”）和《信息披露办法》规定的互联网网站（以下简称“规定网站”）等规定媒介披露，并保证基金投资者能够按照《基金合同》约定的时间和方式查阅或者复制公开披露的信息资料。</w:t>
      </w:r>
    </w:p>
    <w:p w14:paraId="692D1CA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本基金信息披露义务人承诺公开披露的基金信息，不得有下列行为：</w:t>
      </w:r>
    </w:p>
    <w:p w14:paraId="02B0467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虚假记载、误导性陈述或者重大遗漏；</w:t>
      </w:r>
    </w:p>
    <w:p w14:paraId="3F8C5EB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对证券投资业绩进行预测；</w:t>
      </w:r>
    </w:p>
    <w:p w14:paraId="071A1BE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违规承诺收益或者承担损失；</w:t>
      </w:r>
    </w:p>
    <w:p w14:paraId="0FAE193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诋毁其他基金管理人、基金托管人或者基金销售机构；</w:t>
      </w:r>
    </w:p>
    <w:p w14:paraId="250AC6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登载任何自然人、法人和非法人组织的祝贺性、恭维性或推荐性的文字；</w:t>
      </w:r>
    </w:p>
    <w:p w14:paraId="297C3C1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中国证监会禁止的其他行为。</w:t>
      </w:r>
    </w:p>
    <w:p w14:paraId="1E1936F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本基金公开披露的信息应采用中文文本。如同时采用外文文本的，基金信息披露义务人应保证不同文本的内容一致。不同文本之间发生歧义的，以中文文本为准。</w:t>
      </w:r>
    </w:p>
    <w:p w14:paraId="485E4C9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本基金公开披露的信息采用阿拉伯数字；除特别说明外，货币单位为人民币</w:t>
      </w:r>
      <w:r>
        <w:rPr>
          <w:rFonts w:ascii="宋体" w:hAnsi="宋体" w:cs="宋体"/>
          <w:kern w:val="0"/>
          <w:sz w:val="24"/>
          <w:szCs w:val="24"/>
        </w:rPr>
        <w:lastRenderedPageBreak/>
        <w:t>元。</w:t>
      </w:r>
    </w:p>
    <w:p w14:paraId="64AD12C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公开披露的基金信息</w:t>
      </w:r>
    </w:p>
    <w:p w14:paraId="5EB7030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公开披露的基金信息包括：</w:t>
      </w:r>
    </w:p>
    <w:p w14:paraId="2DFD465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基金招募说明书、《基金合同》、基金托管协议、基金产品资料概要</w:t>
      </w:r>
    </w:p>
    <w:p w14:paraId="687F728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《基金合同》是界定《基金合同》当事人的各项权利、义务关系，明确基金份额持有人大会召开的规则及具体程序，说明基金产品的特性等涉及基金投资者重大利益的事项的法律文件。</w:t>
      </w:r>
    </w:p>
    <w:p w14:paraId="7C59B4D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基金招募说明书应当最大限度地披露影响基金投资者决策的全部事项，说明基金</w:t>
      </w:r>
      <w:r>
        <w:rPr>
          <w:rStyle w:val="custom"/>
          <w:rFonts w:ascii="宋体" w:hAnsi="宋体" w:cs="宋体"/>
          <w:kern w:val="0"/>
          <w:sz w:val="24"/>
          <w:szCs w:val="24"/>
        </w:rPr>
        <w:t>认购、</w:t>
      </w:r>
      <w:r>
        <w:rPr>
          <w:rFonts w:ascii="宋体" w:hAnsi="宋体" w:cs="宋体"/>
          <w:kern w:val="0"/>
          <w:sz w:val="24"/>
          <w:szCs w:val="24"/>
        </w:rPr>
        <w:t>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187B18A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基金托管协议是界定基金托管人和基金管理人在基金财产保管及基金运作监督等活动中的权利、义务关系的法律文件。</w:t>
      </w:r>
    </w:p>
    <w:p w14:paraId="456DD7BF"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w:t>
      </w:r>
      <w:r>
        <w:rPr>
          <w:rFonts w:ascii="宋体" w:hAnsi="宋体" w:cs="宋体"/>
          <w:kern w:val="0"/>
          <w:sz w:val="24"/>
          <w:szCs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1FA97C0"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募集申请经中国证监会注册后，基金管理人在基金份额发售的3日前，将基金份额发售公告、基金招募说明书提示性公告、《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259C60AA"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基金份额发售公告</w:t>
      </w:r>
    </w:p>
    <w:p w14:paraId="7B353145"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lastRenderedPageBreak/>
        <w:t>基金管理人应当就基金份额发售的具体事宜编制基金份额发售公告，并在披露招募说明书的当日登载于规定媒介上。</w:t>
      </w:r>
    </w:p>
    <w:p w14:paraId="42B02A43"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（三）</w:t>
      </w:r>
      <w:r>
        <w:rPr>
          <w:rStyle w:val="custom"/>
          <w:rFonts w:ascii="宋体" w:hAnsi="宋体" w:cs="宋体"/>
          <w:kern w:val="0"/>
          <w:sz w:val="24"/>
          <w:szCs w:val="24"/>
        </w:rPr>
        <w:t>《基金合同》生效公告</w:t>
      </w:r>
    </w:p>
    <w:p w14:paraId="7B523277"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基金管理人应当在收到中国证监会确认文件的次日在规定媒介上登载《基金合同》生效公告。</w:t>
      </w:r>
    </w:p>
    <w:p w14:paraId="1B66EF2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基金净值信息</w:t>
      </w:r>
    </w:p>
    <w:p w14:paraId="56F25335"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后，在开始办理基金份额申购或者赎回前，基金管理人应当至少每周在规定网站披露一次各类基金份额净值和基金份额累计净值。在开始办理基金份额申购或者赎回后，基金管理人应当在不晚于每个开放日的次日，通过规定网站、基金销售机构网站或者营业网点，披露开放日的各类基金份额净值和基金份额累计净值。</w:t>
      </w:r>
    </w:p>
    <w:p w14:paraId="296F0B7F"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基金管理人应当在不晚于半年度和年度最后一日的次日，在规定网站披露半年度和年度最后一日的各类基金份额净值和基金份额累计净值。</w:t>
      </w:r>
    </w:p>
    <w:p w14:paraId="2418C88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基金份额申购、赎回价格</w:t>
      </w:r>
    </w:p>
    <w:p w14:paraId="65D292A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5A50EAC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基金定期报告，包括基金年度报告、基金中期报告和基金季度报告</w:t>
      </w:r>
    </w:p>
    <w:p w14:paraId="6D4CCE6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36964E8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基金管理人应当在上半年结束之日起两个月内，编制完成基金中期报告，将中期报告登载在规定网站上，并将中期报告提示性公告登载在规定报刊上。</w:t>
      </w:r>
    </w:p>
    <w:p w14:paraId="3F4EA10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基金管理人应当在季度结束之日起15个工作日内，编制完成基金季度报告，将季度报告登载在规定网站上，并将季度报告提示性公告登载在规定报刊上。</w:t>
      </w:r>
    </w:p>
    <w:p w14:paraId="46844E2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《基金合同》生效不足2个月的，基金管理人可以不编制当期季度报告、中期报告或者年度报告。</w:t>
      </w:r>
    </w:p>
    <w:p w14:paraId="5CB7FCD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如报告期内出现单一投资者持有基金份额达到或超过基金总份额20%的情形，</w:t>
      </w:r>
      <w:r>
        <w:rPr>
          <w:rFonts w:ascii="宋体" w:hAnsi="宋体" w:cs="宋体"/>
          <w:kern w:val="0"/>
          <w:sz w:val="24"/>
          <w:szCs w:val="24"/>
        </w:rPr>
        <w:lastRenderedPageBreak/>
        <w:t>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196CDFC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基金管理人应当在基金年度报告和中期报告中披露基金组合资产情况及其流动性风险分析等。</w:t>
      </w:r>
    </w:p>
    <w:p w14:paraId="00D1132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临时报告</w:t>
      </w:r>
    </w:p>
    <w:p w14:paraId="6FD7CA47"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本基金发生重大事件，有关信息披露义务人应当在2日内编制临时报告书，并登载在规定报刊和规定网站上。</w:t>
      </w:r>
    </w:p>
    <w:p w14:paraId="4477F83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前款所称重大事件，是指可能对基金份额持有人权益或者基金份额的价格产生重大影响的下列事件：</w:t>
      </w:r>
    </w:p>
    <w:p w14:paraId="4979FCB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基金份额持有人大会的召开及决定的事项；</w:t>
      </w:r>
    </w:p>
    <w:p w14:paraId="67E0F52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《基金合同》终止、基金清算；</w:t>
      </w:r>
    </w:p>
    <w:p w14:paraId="3C2A095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转换基金运作方式、基金合并；</w:t>
      </w:r>
    </w:p>
    <w:p w14:paraId="33B4906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更换基金管理人、基金托管人、基金份额登记机构，基金改聘会计师事务所；</w:t>
      </w:r>
    </w:p>
    <w:p w14:paraId="3115157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基金管理人委托基金服务机构代为办理基金的份额登记、核算、估值等事项，基金托管人委托基金服务机构代为办理基金的核算、估值、复核等事项；</w:t>
      </w:r>
    </w:p>
    <w:p w14:paraId="10E6343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基金管理人、基金托管人的法定名称、住所发生变更；</w:t>
      </w:r>
    </w:p>
    <w:p w14:paraId="6A6E6A6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基金管理人变更持有百分之五以上股权的股东、基金管理人的实际控制人变更；</w:t>
      </w:r>
    </w:p>
    <w:p w14:paraId="28F53A14" w14:textId="77777777" w:rsidR="00A71A93" w:rsidRDefault="009713AD">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custom"/>
          <w:rFonts w:ascii="宋体" w:hAnsi="宋体" w:cs="宋体"/>
          <w:kern w:val="0"/>
          <w:sz w:val="24"/>
          <w:szCs w:val="24"/>
        </w:rPr>
        <w:t>基金募集期延长或提前结束募集；</w:t>
      </w:r>
    </w:p>
    <w:p w14:paraId="62C1D56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基金管理人的高级管理人员、基金经理和基金托管人专门基金托管部门负责人发生变动；</w:t>
      </w:r>
    </w:p>
    <w:p w14:paraId="4123A1F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基金管理人的董事在最近12个月内变更超过百分之五十，基金管理人、基金托管人专门基金托管部门的主要业务人员在最近12个月内变动超过百分之三十；</w:t>
      </w:r>
    </w:p>
    <w:p w14:paraId="0F0A1FC9"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涉及基金财产、基金管理业务、基金托管业务的诉讼或仲裁；</w:t>
      </w:r>
    </w:p>
    <w:p w14:paraId="1272105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基金管理人或其高级管理人员、基金经理因基金管理业务相关行为受</w:t>
      </w:r>
      <w:r>
        <w:rPr>
          <w:rFonts w:ascii="宋体" w:hAnsi="宋体" w:cs="宋体"/>
          <w:kern w:val="0"/>
          <w:sz w:val="24"/>
          <w:szCs w:val="24"/>
        </w:rPr>
        <w:lastRenderedPageBreak/>
        <w:t>到重大行政处罚、刑事处罚，基金托管人或其专门基金托管部门负责人因基金托管业务相关行为受到重大行政处罚、刑事处罚；</w:t>
      </w:r>
    </w:p>
    <w:p w14:paraId="3CE923B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570CA62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基金收益分配事项；</w:t>
      </w:r>
    </w:p>
    <w:p w14:paraId="1B4E411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15、管理费、托管费、销售服务费、申购费和赎回费等费用计提标准、计提方式和费率发生变更；</w:t>
      </w:r>
    </w:p>
    <w:p w14:paraId="2423E7E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16、某类基金份额净值估值错误达该类基金份额净值百分之零点五；</w:t>
      </w:r>
    </w:p>
    <w:p w14:paraId="1085170A"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17、本基金开始办理申购、赎回；</w:t>
      </w:r>
    </w:p>
    <w:p w14:paraId="5CD186FD"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18、本基金发生巨额赎回并延期办理；</w:t>
      </w:r>
    </w:p>
    <w:p w14:paraId="6D348621"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19、本基金连续发生巨额赎回并暂停接受赎回申请或延缓支付赎回款项；</w:t>
      </w:r>
    </w:p>
    <w:p w14:paraId="130A814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本基金暂停接受申购、赎回申请或者重新接受申购、赎回申请；</w:t>
      </w:r>
    </w:p>
    <w:p w14:paraId="150D1F09"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21、本基金变更标的指数；</w:t>
      </w:r>
    </w:p>
    <w:p w14:paraId="336C6B3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调整基金份额类别的设置；</w:t>
      </w:r>
    </w:p>
    <w:p w14:paraId="615B149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本基金推出新业务或服务；</w:t>
      </w:r>
    </w:p>
    <w:p w14:paraId="7E31FAB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24、</w:t>
      </w:r>
      <w:r>
        <w:rPr>
          <w:rFonts w:ascii="宋体" w:hAnsi="宋体" w:cs="宋体"/>
          <w:kern w:val="0"/>
          <w:sz w:val="24"/>
          <w:szCs w:val="24"/>
        </w:rPr>
        <w:t>发生涉及基金申购、赎回事项调整或潜在影响投资者赎回等重大事项时；</w:t>
      </w:r>
    </w:p>
    <w:p w14:paraId="5E6BFCB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25、</w:t>
      </w:r>
      <w:r>
        <w:rPr>
          <w:rFonts w:ascii="宋体" w:hAnsi="宋体" w:cs="宋体"/>
          <w:kern w:val="0"/>
          <w:sz w:val="24"/>
          <w:szCs w:val="24"/>
        </w:rPr>
        <w:t>基金管理人采用摆动定价机制进行估值；</w:t>
      </w:r>
    </w:p>
    <w:p w14:paraId="6FCC032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Fonts w:ascii="宋体" w:hAnsi="宋体" w:cs="宋体"/>
          <w:kern w:val="0"/>
          <w:sz w:val="24"/>
          <w:szCs w:val="24"/>
        </w:rPr>
        <w:t>基金信息披露义务人认为可能对基金份额持有人权益或者基金份额的价格产生重大影响的其他事项或中国证监会规定的其他事项。</w:t>
      </w:r>
    </w:p>
    <w:p w14:paraId="00A0D75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澄清公告</w:t>
      </w:r>
    </w:p>
    <w:p w14:paraId="3572E4A0"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13B99FC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清算报告</w:t>
      </w:r>
    </w:p>
    <w:p w14:paraId="533439F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基金合同终止情形发生时，基金管理人应当依法组织基金财产清算小组对基金财产进行清算并作出清算报告。基金财产清算小组应当将清算报告登载在规定网站上，并将清算报告提示性公告登载在规定报刊上。</w:t>
      </w:r>
    </w:p>
    <w:p w14:paraId="15A07EF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（十）</w:t>
      </w:r>
      <w:r>
        <w:rPr>
          <w:rFonts w:ascii="宋体" w:hAnsi="宋体" w:cs="宋体"/>
          <w:kern w:val="0"/>
          <w:sz w:val="24"/>
          <w:szCs w:val="24"/>
        </w:rPr>
        <w:t>基金份额持有人大会决议</w:t>
      </w:r>
    </w:p>
    <w:p w14:paraId="49329E9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基金份额持有人大会决定的事项，应当依法报中国证监会备案，并予以公告。</w:t>
      </w:r>
    </w:p>
    <w:p w14:paraId="35FB0C2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（十一）投资股指期货的信息披露</w:t>
      </w:r>
    </w:p>
    <w:p w14:paraId="7B0E135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在季度报告、中期报告、年度报告等定期报告和招募说明书(更新)等文件中披露股指期货交易情况，包括交易政策、持仓情况、损益情况、风险指标等，并充分揭示股指期货交易对基金总体风险的影响以及是否符合既定的交易政策和交易目标等。</w:t>
      </w:r>
    </w:p>
    <w:p w14:paraId="66084B3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（十二）投资国债期货的信息披露</w:t>
      </w:r>
    </w:p>
    <w:p w14:paraId="673A64C1"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14:paraId="46382FE8"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（十三）投资股票期权的信息披露</w:t>
      </w:r>
    </w:p>
    <w:p w14:paraId="7492B16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3AAD436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（十四）投资资产支持证券的信息披露</w:t>
      </w:r>
    </w:p>
    <w:p w14:paraId="240028E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352EE9C2"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（十五）参与融资业务的信息披露</w:t>
      </w:r>
    </w:p>
    <w:p w14:paraId="63CA934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基金管理人应在季度报告、中期报告、年度报告等定期报告和招募说明书（更新）等文件中披露参与融资交易的情况，包括投资策略、业务开展情况、损益情况、风险及管理情况。</w:t>
      </w:r>
    </w:p>
    <w:p w14:paraId="6D805EBC"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（十六）参与转融通证券出借业务的信息披露</w:t>
      </w:r>
    </w:p>
    <w:p w14:paraId="70BF33A0"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基金管理人应在季度报告、中期报告、年度报告等定期报告和招募说明书（更新）等文件中披露参与转融通证券出借业务交易的情况，包括投资策略、业务开</w:t>
      </w:r>
      <w:r>
        <w:rPr>
          <w:rStyle w:val="custom"/>
          <w:rFonts w:ascii="宋体" w:hAnsi="宋体" w:cs="宋体"/>
          <w:kern w:val="0"/>
          <w:sz w:val="24"/>
          <w:szCs w:val="24"/>
        </w:rPr>
        <w:lastRenderedPageBreak/>
        <w:t>展情况、损益情况、风险及管理情况，并就报告期内本基金参与转融通证券出借业务发生的重大关联交易事项做详细说明。</w:t>
      </w:r>
    </w:p>
    <w:p w14:paraId="722C7F87"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（十七）投资港股通标的股票的信息披露</w:t>
      </w:r>
    </w:p>
    <w:p w14:paraId="3025485E"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基金管理人应在季度报告、中期报告、年度报告等定期报告和招募说明书（更新）等文件中披露港股通交易的相关情况。</w:t>
      </w:r>
    </w:p>
    <w:p w14:paraId="21560E6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（十八）</w:t>
      </w:r>
      <w:r>
        <w:rPr>
          <w:rFonts w:ascii="宋体" w:hAnsi="宋体" w:cs="宋体"/>
          <w:kern w:val="0"/>
          <w:sz w:val="24"/>
          <w:szCs w:val="24"/>
        </w:rPr>
        <w:t>实施侧袋机制期间的信息披露</w:t>
      </w:r>
    </w:p>
    <w:p w14:paraId="7D732722"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本基金实施侧袋机制的，相关信息披露义务人应当根据法律法规、基金合同和招募说明书的规定进行信息披露，详见招募说明书的规定。</w:t>
      </w:r>
    </w:p>
    <w:p w14:paraId="45B1398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（十九）</w:t>
      </w:r>
      <w:r>
        <w:rPr>
          <w:rFonts w:ascii="宋体" w:hAnsi="宋体" w:cs="宋体"/>
          <w:kern w:val="0"/>
          <w:sz w:val="24"/>
          <w:szCs w:val="24"/>
        </w:rPr>
        <w:t>中国证监会规定的其他信息。</w:t>
      </w:r>
    </w:p>
    <w:p w14:paraId="3AF841AA"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暂停或延迟信息披露的情形</w:t>
      </w:r>
    </w:p>
    <w:p w14:paraId="60FBDFE3"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1、基金投资所涉及的证券/期货交易所遇法定节假日或因其他原因暂停营业时；</w:t>
      </w:r>
    </w:p>
    <w:p w14:paraId="39C8EC1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因不可抗力或其他情形致使基金管理人、基金托管人无法准确评估基金资产价值时；</w:t>
      </w:r>
    </w:p>
    <w:p w14:paraId="6C162C62"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法律法规规定、中国证监会或《基金合同》认定的其他情形。</w:t>
      </w:r>
    </w:p>
    <w:p w14:paraId="29B1996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信息披露事务管理</w:t>
      </w:r>
    </w:p>
    <w:p w14:paraId="1D55AF66"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基金管理人、基金托管人应当建立健全信息披露管理制度，指定专门部门及高级管理人员负责管理信息披露事务。</w:t>
      </w:r>
    </w:p>
    <w:p w14:paraId="7B36A66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基金信息披露义务人公开披露基金信息，应当符合中国证监会相关基金信息披露内容与格式准则等法规的规定。</w:t>
      </w:r>
    </w:p>
    <w:p w14:paraId="7A99DEA1"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托管人应当按照相关法律法规、中国证监会的规定和《基金合同》的约定，对基金管理人编制的基金资产净值、各类基金份额净值、基金份额申购赎回价格、基金定期报告、更新的招募说明书、更新的基金产品资料概要、基金清算报告等公开披露的相关基金信息进行复核、审查，并向基金管理人进行书面或电子确认。</w:t>
      </w:r>
    </w:p>
    <w:p w14:paraId="7BFECF61"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7966B70B"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基金管理人、基金托管人除依法在规定媒介上披露信息外，还可以根据需要</w:t>
      </w:r>
      <w:r>
        <w:rPr>
          <w:rStyle w:val="custom"/>
          <w:rFonts w:ascii="宋体" w:hAnsi="宋体" w:cs="宋体"/>
          <w:kern w:val="0"/>
          <w:sz w:val="24"/>
          <w:szCs w:val="24"/>
        </w:rPr>
        <w:lastRenderedPageBreak/>
        <w:t>在其他公共媒介披露信息，但是其他公共媒介不得早于规定媒介披露信息，并且在不同媒介上披露同一信息的内容应当一致。</w:t>
      </w:r>
    </w:p>
    <w:p w14:paraId="7489161B"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4A22066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为基金信息披露义务人公开披露的基金信息出具审计报告、法律意见书的专业机构，应当制作工作底稿，并将相关档案至少保存到《基金合同》终止后10年。</w:t>
      </w:r>
    </w:p>
    <w:p w14:paraId="165CED0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信息披露文件的存放与查阅</w:t>
      </w:r>
    </w:p>
    <w:p w14:paraId="05FEA55A" w14:textId="77777777" w:rsidR="00A71A93" w:rsidRDefault="009713AD">
      <w:pPr>
        <w:pStyle w:val="div"/>
        <w:spacing w:line="360" w:lineRule="auto"/>
        <w:ind w:firstLine="420"/>
        <w:rPr>
          <w:rFonts w:eastAsia="Times New Roman"/>
          <w:kern w:val="0"/>
          <w:sz w:val="24"/>
          <w:szCs w:val="24"/>
        </w:rPr>
      </w:pPr>
      <w:r>
        <w:rPr>
          <w:rStyle w:val="custom"/>
          <w:rFonts w:ascii="宋体" w:hAnsi="宋体" w:cs="宋体"/>
          <w:kern w:val="0"/>
          <w:sz w:val="24"/>
          <w:szCs w:val="24"/>
        </w:rPr>
        <w:t>依法必须披露的信息发布后，基金管理人、基金托管人应当按照相关法律法规规定将信息置备于各自住所，供社会公众查阅、复制。</w:t>
      </w:r>
      <w:r>
        <w:rPr>
          <w:rStyle w:val="custom"/>
          <w:rFonts w:ascii="宋体" w:hAnsi="宋体" w:cs="宋体"/>
          <w:kern w:val="0"/>
          <w:sz w:val="24"/>
          <w:szCs w:val="24"/>
        </w:rPr>
        <w:br w:type="page"/>
      </w:r>
    </w:p>
    <w:p w14:paraId="151A25D2" w14:textId="77777777" w:rsidR="009D63C8" w:rsidRDefault="009713AD" w:rsidP="009E26D0">
      <w:pPr>
        <w:pStyle w:val="1"/>
        <w:spacing w:before="0" w:after="0"/>
        <w:jc w:val="center"/>
        <w:rPr>
          <w:rFonts w:ascii="Times New Roman"/>
          <w:color w:val="auto"/>
          <w:sz w:val="30"/>
        </w:rPr>
      </w:pPr>
      <w:bookmarkStart w:id="63" w:name="_Toc256000018"/>
      <w:r w:rsidRPr="009E26D0">
        <w:rPr>
          <w:rFonts w:ascii="Times New Roman"/>
          <w:noProof/>
          <w:color w:val="auto"/>
          <w:sz w:val="30"/>
        </w:rPr>
        <w:lastRenderedPageBreak/>
        <w:t>第十九部分</w:t>
      </w:r>
      <w:r w:rsidRPr="009E26D0">
        <w:rPr>
          <w:rFonts w:ascii="Times New Roman"/>
          <w:noProof/>
          <w:color w:val="auto"/>
          <w:sz w:val="30"/>
        </w:rPr>
        <w:t xml:space="preserve">  </w:t>
      </w:r>
      <w:r w:rsidRPr="009E26D0">
        <w:rPr>
          <w:rFonts w:ascii="Times New Roman"/>
          <w:noProof/>
          <w:color w:val="auto"/>
          <w:sz w:val="30"/>
        </w:rPr>
        <w:t>基金合同的变更、终止与基金财产的清算</w:t>
      </w:r>
      <w:bookmarkEnd w:id="63"/>
    </w:p>
    <w:p w14:paraId="27299EA4" w14:textId="77777777" w:rsidR="007A2B34" w:rsidRPr="0017353E" w:rsidRDefault="007A2B34" w:rsidP="0090469D"/>
    <w:p w14:paraId="02B7B9A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《基金合同》的变更</w:t>
      </w:r>
    </w:p>
    <w:p w14:paraId="5D59AE0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5476408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关于《基金合同》变更的基金份额持有人大会决议自生效后方可执行，自决议生效后两日内在规定媒介公告。</w:t>
      </w:r>
    </w:p>
    <w:p w14:paraId="579545F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《基金合同》的终止事由</w:t>
      </w:r>
    </w:p>
    <w:p w14:paraId="14A9076B"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有下列情形之一的，经履行相关程序后，《基金合同》应当终止：</w:t>
      </w:r>
    </w:p>
    <w:p w14:paraId="338E57A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基金份额持有人大会决定终止的；</w:t>
      </w:r>
    </w:p>
    <w:p w14:paraId="76C696CF"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基金管理人、基金托管人职责终止，在6个月内没有新基金管理人、新基金托管人承接的；</w:t>
      </w:r>
    </w:p>
    <w:p w14:paraId="3B9472EB" w14:textId="77777777" w:rsidR="00A71A93" w:rsidRDefault="009713AD">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4909749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《基金合同》约定的其他情形；</w:t>
      </w:r>
    </w:p>
    <w:p w14:paraId="0ACBA3A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相关法律法规和中国证监会规定的其他情况。</w:t>
      </w:r>
    </w:p>
    <w:p w14:paraId="4152C1E5"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基金财产的清算</w:t>
      </w:r>
    </w:p>
    <w:p w14:paraId="1EE541D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基金财产清算小组：自出现《基金合同》终止事由之日起30个工作日内成立清算小组，基金管理人组织基金财产清算小组并在中国证监会的监督下进行基金清算。</w:t>
      </w:r>
    </w:p>
    <w:p w14:paraId="5C1A975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032BAE3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基金财产清算小组职责：基金财产清算小组负责基金财产的保管、清理、估价、变现和分配。基金财产清算小组可以依法进行必要的民事活动。</w:t>
      </w:r>
    </w:p>
    <w:p w14:paraId="3DC7E2ED"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4、</w:t>
      </w:r>
      <w:r>
        <w:rPr>
          <w:rFonts w:ascii="宋体" w:hAnsi="宋体" w:cs="宋体"/>
          <w:kern w:val="0"/>
          <w:sz w:val="24"/>
          <w:szCs w:val="24"/>
        </w:rPr>
        <w:t>基金财产清算程序：</w:t>
      </w:r>
    </w:p>
    <w:p w14:paraId="3859819B"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《基金合同》终止情形出现时，由基金财产清算小组统一接管基金；</w:t>
      </w:r>
    </w:p>
    <w:p w14:paraId="5CCDEA2E"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对基金财产和债权债务进行清理和确认；</w:t>
      </w:r>
    </w:p>
    <w:p w14:paraId="629DBC81"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对基金财产进行估值和变现；</w:t>
      </w:r>
    </w:p>
    <w:p w14:paraId="585579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制作清算报告；</w:t>
      </w:r>
    </w:p>
    <w:p w14:paraId="62317E7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聘请符合《中华人民共和国证券法》规定的会计师事务所对清算报告进行外部审计，聘请律师事务所对清算报告出具法律意见书；</w:t>
      </w:r>
    </w:p>
    <w:p w14:paraId="1FCE3B6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将清算报告报中国证监会备案并公告；</w:t>
      </w:r>
    </w:p>
    <w:p w14:paraId="45C9CEE3"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对基金剩余财产进行分配。</w:t>
      </w:r>
    </w:p>
    <w:p w14:paraId="6A12A697"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基金财产清算的期限为6个月，但因本基金所持证券的流动性受到限制而不能及时变现的，清算期限相应顺延。</w:t>
      </w:r>
    </w:p>
    <w:p w14:paraId="688DDDAC"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清算费用</w:t>
      </w:r>
    </w:p>
    <w:p w14:paraId="257E0220"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6E245C04"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基金财产清算剩余资产的分配</w:t>
      </w:r>
    </w:p>
    <w:p w14:paraId="03EAEFDB" w14:textId="433F866D" w:rsidR="00A71A93" w:rsidRDefault="009713AD">
      <w:pPr>
        <w:pStyle w:val="div"/>
        <w:spacing w:line="360" w:lineRule="auto"/>
        <w:ind w:firstLine="42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p>
    <w:p w14:paraId="7714D7BD" w14:textId="6FEB8D61" w:rsidR="000B3100" w:rsidRDefault="000B3100">
      <w:pPr>
        <w:pStyle w:val="div"/>
        <w:spacing w:line="360" w:lineRule="auto"/>
        <w:ind w:firstLine="420"/>
        <w:rPr>
          <w:rFonts w:eastAsia="Times New Roman"/>
          <w:kern w:val="0"/>
          <w:sz w:val="24"/>
          <w:szCs w:val="24"/>
        </w:rPr>
      </w:pPr>
      <w:r w:rsidRPr="00767C2D">
        <w:rPr>
          <w:rFonts w:eastAsiaTheme="minorEastAsia" w:hint="eastAsia"/>
          <w:kern w:val="0"/>
          <w:sz w:val="24"/>
          <w:szCs w:val="24"/>
        </w:rPr>
        <w:t>其中，对于投资者通过直销机构认购</w:t>
      </w:r>
      <w:r w:rsidRPr="00767C2D">
        <w:rPr>
          <w:rFonts w:eastAsiaTheme="minorEastAsia" w:hint="eastAsia"/>
          <w:kern w:val="0"/>
          <w:sz w:val="24"/>
          <w:szCs w:val="24"/>
        </w:rPr>
        <w:t>/</w:t>
      </w:r>
      <w:r w:rsidRPr="00767C2D">
        <w:rPr>
          <w:rFonts w:eastAsiaTheme="minorEastAsia" w:hint="eastAsia"/>
          <w:kern w:val="0"/>
          <w:sz w:val="24"/>
          <w:szCs w:val="24"/>
        </w:rPr>
        <w:t>申购的</w:t>
      </w:r>
      <w:bookmarkStart w:id="64" w:name="_Hlk218688952"/>
      <w:r>
        <w:rPr>
          <w:rFonts w:hint="eastAsia"/>
          <w:bCs/>
          <w:sz w:val="24"/>
          <w:lang w:bidi="en-US"/>
        </w:rPr>
        <w:t>C</w:t>
      </w:r>
      <w:r>
        <w:rPr>
          <w:rFonts w:hint="eastAsia"/>
          <w:bCs/>
          <w:sz w:val="24"/>
          <w:lang w:bidi="en-US"/>
        </w:rPr>
        <w:t>类基金份额所计提的销售服务费</w:t>
      </w:r>
      <w:bookmarkEnd w:id="64"/>
      <w:r w:rsidRPr="00767C2D">
        <w:rPr>
          <w:rFonts w:eastAsiaTheme="minorEastAsia" w:hint="eastAsia"/>
          <w:kern w:val="0"/>
          <w:sz w:val="24"/>
          <w:szCs w:val="24"/>
        </w:rPr>
        <w:t>或者通过其他销售机构认购</w:t>
      </w:r>
      <w:r w:rsidRPr="00767C2D">
        <w:rPr>
          <w:rFonts w:eastAsiaTheme="minorEastAsia" w:hint="eastAsia"/>
          <w:kern w:val="0"/>
          <w:sz w:val="24"/>
          <w:szCs w:val="24"/>
        </w:rPr>
        <w:t>/</w:t>
      </w:r>
      <w:r w:rsidRPr="00767C2D">
        <w:rPr>
          <w:rFonts w:eastAsiaTheme="minorEastAsia" w:hint="eastAsia"/>
          <w:kern w:val="0"/>
          <w:sz w:val="24"/>
          <w:szCs w:val="24"/>
        </w:rPr>
        <w:t>申购且持续持有期限超过一年</w:t>
      </w:r>
      <w:bookmarkStart w:id="65" w:name="_Hlk218688957"/>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天）以后继续计提</w:t>
      </w:r>
      <w:bookmarkEnd w:id="65"/>
      <w:r w:rsidRPr="00767C2D">
        <w:rPr>
          <w:rFonts w:eastAsiaTheme="minorEastAsia" w:hint="eastAsia"/>
          <w:kern w:val="0"/>
          <w:sz w:val="24"/>
          <w:szCs w:val="24"/>
        </w:rPr>
        <w:t>的</w:t>
      </w:r>
      <w:r w:rsidRPr="00767C2D">
        <w:rPr>
          <w:rFonts w:eastAsiaTheme="minorEastAsia" w:hint="eastAsia"/>
          <w:kern w:val="0"/>
          <w:sz w:val="24"/>
          <w:szCs w:val="24"/>
        </w:rPr>
        <w:t>C</w:t>
      </w:r>
      <w:r w:rsidRPr="00767C2D">
        <w:rPr>
          <w:rFonts w:eastAsiaTheme="minorEastAsia" w:hint="eastAsia"/>
          <w:kern w:val="0"/>
          <w:sz w:val="24"/>
          <w:szCs w:val="24"/>
        </w:rPr>
        <w:t>类基金份额销售服务费</w:t>
      </w:r>
      <w:r>
        <w:rPr>
          <w:rFonts w:eastAsiaTheme="minorEastAsia" w:hint="eastAsia"/>
          <w:kern w:val="0"/>
          <w:sz w:val="24"/>
          <w:szCs w:val="24"/>
        </w:rPr>
        <w:t>，</w:t>
      </w:r>
      <w:r w:rsidRPr="00767C2D">
        <w:rPr>
          <w:rFonts w:eastAsiaTheme="minorEastAsia" w:hint="eastAsia"/>
          <w:kern w:val="0"/>
          <w:sz w:val="24"/>
          <w:szCs w:val="24"/>
        </w:rPr>
        <w:t>将在基金合同终止时随</w:t>
      </w:r>
      <w:r>
        <w:rPr>
          <w:rFonts w:eastAsiaTheme="minorEastAsia" w:hint="eastAsia"/>
          <w:kern w:val="0"/>
          <w:sz w:val="24"/>
          <w:szCs w:val="24"/>
        </w:rPr>
        <w:t>清算</w:t>
      </w:r>
      <w:r>
        <w:rPr>
          <w:rFonts w:eastAsiaTheme="minorEastAsia"/>
          <w:kern w:val="0"/>
          <w:sz w:val="24"/>
          <w:szCs w:val="24"/>
        </w:rPr>
        <w:t>款</w:t>
      </w:r>
      <w:r w:rsidRPr="00767C2D">
        <w:rPr>
          <w:rFonts w:eastAsiaTheme="minorEastAsia" w:hint="eastAsia"/>
          <w:kern w:val="0"/>
          <w:sz w:val="24"/>
          <w:szCs w:val="24"/>
        </w:rPr>
        <w:t>一并返还给投资者。</w:t>
      </w:r>
    </w:p>
    <w:p w14:paraId="67005556"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基金财产清算的公告</w:t>
      </w:r>
    </w:p>
    <w:p w14:paraId="12D6A79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4FE86CE0"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基金财产清算账册及文件的保存</w:t>
      </w:r>
    </w:p>
    <w:p w14:paraId="22A5B47A"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基金财产清算账册及有关文件由基金托管人保存，保存期限不少于法定最低期限。</w:t>
      </w:r>
      <w:r>
        <w:rPr>
          <w:rFonts w:ascii="宋体" w:hAnsi="宋体" w:cs="宋体"/>
          <w:kern w:val="0"/>
          <w:sz w:val="24"/>
          <w:szCs w:val="24"/>
        </w:rPr>
        <w:br w:type="page"/>
      </w:r>
    </w:p>
    <w:p w14:paraId="4A0983C3" w14:textId="77777777" w:rsidR="009D63C8" w:rsidRDefault="009713AD" w:rsidP="009E26D0">
      <w:pPr>
        <w:pStyle w:val="1"/>
        <w:spacing w:before="0" w:after="0"/>
        <w:jc w:val="center"/>
        <w:rPr>
          <w:rFonts w:ascii="Times New Roman"/>
          <w:color w:val="auto"/>
          <w:sz w:val="30"/>
        </w:rPr>
      </w:pPr>
      <w:bookmarkStart w:id="66" w:name="_Toc256000019"/>
      <w:r w:rsidRPr="009E26D0">
        <w:rPr>
          <w:rFonts w:ascii="Times New Roman"/>
          <w:noProof/>
          <w:color w:val="auto"/>
          <w:sz w:val="30"/>
        </w:rPr>
        <w:lastRenderedPageBreak/>
        <w:t>第二十部分</w:t>
      </w:r>
      <w:r w:rsidRPr="009E26D0">
        <w:rPr>
          <w:rFonts w:ascii="Times New Roman"/>
          <w:noProof/>
          <w:color w:val="auto"/>
          <w:sz w:val="30"/>
        </w:rPr>
        <w:t xml:space="preserve">  </w:t>
      </w:r>
      <w:r w:rsidRPr="009E26D0">
        <w:rPr>
          <w:rFonts w:ascii="Times New Roman"/>
          <w:noProof/>
          <w:color w:val="auto"/>
          <w:sz w:val="30"/>
        </w:rPr>
        <w:t>违约责任</w:t>
      </w:r>
      <w:bookmarkEnd w:id="66"/>
    </w:p>
    <w:p w14:paraId="6A10A8B4" w14:textId="77777777" w:rsidR="007A2B34" w:rsidRPr="0017353E" w:rsidRDefault="007A2B34" w:rsidP="0090469D"/>
    <w:p w14:paraId="1C24EB91"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的，当事人免责：</w:t>
      </w:r>
    </w:p>
    <w:p w14:paraId="4F6DDBE9"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1、不可抗力；</w:t>
      </w:r>
    </w:p>
    <w:p w14:paraId="449A695D"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2、基金管理人和/或基金托管人按照当时有效的法律法规或中国证监会的规定作为或不作为而造成的损失等；</w:t>
      </w:r>
    </w:p>
    <w:p w14:paraId="72C8E7F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3、</w:t>
      </w:r>
      <w:r w:rsidR="00D87B67">
        <w:rPr>
          <w:rFonts w:ascii="宋体" w:hAnsi="宋体" w:cs="宋体"/>
          <w:kern w:val="0"/>
          <w:sz w:val="24"/>
          <w:szCs w:val="24"/>
        </w:rPr>
        <w:t>在没有过错的情况下，</w:t>
      </w:r>
      <w:r>
        <w:rPr>
          <w:rFonts w:ascii="宋体" w:hAnsi="宋体" w:cs="宋体"/>
          <w:kern w:val="0"/>
          <w:sz w:val="24"/>
          <w:szCs w:val="24"/>
        </w:rPr>
        <w:t>基金管理人由于按照《基金合同》规定的投资原则行使或不行使其投资权而造成的损失等。</w:t>
      </w:r>
    </w:p>
    <w:p w14:paraId="20776D4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20A9384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三、由于基金管理人、基金托管人不可控制的因素导致业务出现差错，基金管理人和基金托管人虽然已经采取必要、适当、合理的措施进行检查，但是未能发现错误</w:t>
      </w:r>
      <w:r w:rsidR="0022352D" w:rsidRPr="0022352D">
        <w:rPr>
          <w:rFonts w:ascii="宋体" w:hAnsi="宋体" w:cs="宋体" w:hint="eastAsia"/>
          <w:kern w:val="0"/>
          <w:sz w:val="24"/>
          <w:szCs w:val="24"/>
        </w:rPr>
        <w:t>或未能避免错误发生</w:t>
      </w:r>
      <w:r>
        <w:rPr>
          <w:rFonts w:ascii="宋体" w:hAnsi="宋体" w:cs="宋体"/>
          <w:kern w:val="0"/>
          <w:sz w:val="24"/>
          <w:szCs w:val="24"/>
        </w:rPr>
        <w:t>的，由此造成基金财产或投资人损失，基金管理人和基金托管人免除赔偿责任。但是基金管理人和基金托管人应积极采取必要的措施消除或减轻由此造成的影响。</w:t>
      </w:r>
      <w:r>
        <w:rPr>
          <w:rFonts w:ascii="宋体" w:hAnsi="宋体" w:cs="宋体"/>
          <w:kern w:val="0"/>
          <w:sz w:val="24"/>
          <w:szCs w:val="24"/>
        </w:rPr>
        <w:br w:type="page"/>
      </w:r>
    </w:p>
    <w:p w14:paraId="16E1E28D" w14:textId="77777777" w:rsidR="009D63C8" w:rsidRDefault="009713AD" w:rsidP="009E26D0">
      <w:pPr>
        <w:pStyle w:val="1"/>
        <w:spacing w:before="0" w:after="0"/>
        <w:jc w:val="center"/>
        <w:rPr>
          <w:rFonts w:ascii="Times New Roman"/>
          <w:color w:val="auto"/>
          <w:sz w:val="30"/>
        </w:rPr>
      </w:pPr>
      <w:bookmarkStart w:id="67" w:name="_Toc256000020"/>
      <w:r w:rsidRPr="009E26D0">
        <w:rPr>
          <w:rFonts w:ascii="Times New Roman"/>
          <w:noProof/>
          <w:color w:val="auto"/>
          <w:sz w:val="30"/>
        </w:rPr>
        <w:lastRenderedPageBreak/>
        <w:t>第二十一部分</w:t>
      </w:r>
      <w:r w:rsidRPr="009E26D0">
        <w:rPr>
          <w:rFonts w:ascii="Times New Roman"/>
          <w:noProof/>
          <w:color w:val="auto"/>
          <w:sz w:val="30"/>
        </w:rPr>
        <w:t xml:space="preserve">  </w:t>
      </w:r>
      <w:r w:rsidRPr="009E26D0">
        <w:rPr>
          <w:rFonts w:ascii="Times New Roman"/>
          <w:noProof/>
          <w:color w:val="auto"/>
          <w:sz w:val="30"/>
        </w:rPr>
        <w:t>争议的处理和适用的法律</w:t>
      </w:r>
      <w:bookmarkEnd w:id="67"/>
    </w:p>
    <w:p w14:paraId="72BD095F" w14:textId="77777777" w:rsidR="007A2B34" w:rsidRPr="0017353E" w:rsidRDefault="007A2B34" w:rsidP="0090469D"/>
    <w:p w14:paraId="591D6CA8"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各方当事人同意，因《基金合同》而产生的或与《基金合同》有关的一切争议可通过友好协商或者调解解决，如未能协商或者调解解决的，任何一方均有权将争议提交</w:t>
      </w:r>
      <w:r w:rsidR="00BC1B69" w:rsidRPr="00A71FF8">
        <w:rPr>
          <w:rFonts w:hint="eastAsia"/>
          <w:bCs/>
          <w:sz w:val="24"/>
        </w:rPr>
        <w:t>中国国际经济贸易仲裁委员会</w:t>
      </w:r>
      <w:r>
        <w:rPr>
          <w:rFonts w:ascii="宋体" w:hAnsi="宋体" w:cs="宋体"/>
          <w:kern w:val="0"/>
          <w:sz w:val="24"/>
          <w:szCs w:val="24"/>
        </w:rPr>
        <w:t>，按照其届时有效的仲裁规则进行仲裁，仲裁地点为</w:t>
      </w:r>
      <w:r w:rsidR="00BC1B69">
        <w:rPr>
          <w:rFonts w:ascii="宋体" w:hAnsi="宋体" w:cs="宋体" w:hint="eastAsia"/>
          <w:kern w:val="0"/>
          <w:sz w:val="24"/>
          <w:szCs w:val="24"/>
        </w:rPr>
        <w:t>北京市</w:t>
      </w:r>
      <w:r>
        <w:rPr>
          <w:rFonts w:ascii="宋体" w:hAnsi="宋体" w:cs="宋体"/>
          <w:kern w:val="0"/>
          <w:sz w:val="24"/>
          <w:szCs w:val="24"/>
        </w:rPr>
        <w:t>。仲裁裁决是终局的，对各方当事人均有约束力，除非仲裁裁决另有决定，仲裁费用由败诉方承担。</w:t>
      </w:r>
    </w:p>
    <w:p w14:paraId="58DE5FA4"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争议处理期间，基金合同当事人应恪守各自的职责，继续忠实、勤勉、尽责地履行基金合同规定的义务，维护基金份额持有人的合法权益。</w:t>
      </w:r>
    </w:p>
    <w:p w14:paraId="66080505"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r>
        <w:rPr>
          <w:rFonts w:ascii="宋体" w:hAnsi="宋体" w:cs="宋体"/>
          <w:kern w:val="0"/>
          <w:sz w:val="24"/>
          <w:szCs w:val="24"/>
        </w:rPr>
        <w:br w:type="page"/>
      </w:r>
    </w:p>
    <w:p w14:paraId="5CB586FA" w14:textId="77777777" w:rsidR="009D63C8" w:rsidRDefault="009713AD" w:rsidP="009E26D0">
      <w:pPr>
        <w:pStyle w:val="1"/>
        <w:spacing w:before="0" w:after="0"/>
        <w:jc w:val="center"/>
        <w:rPr>
          <w:rFonts w:ascii="Times New Roman"/>
          <w:color w:val="auto"/>
          <w:sz w:val="30"/>
        </w:rPr>
      </w:pPr>
      <w:bookmarkStart w:id="68" w:name="_Toc256000021"/>
      <w:r w:rsidRPr="009E26D0">
        <w:rPr>
          <w:rFonts w:ascii="Times New Roman"/>
          <w:noProof/>
          <w:color w:val="auto"/>
          <w:sz w:val="30"/>
        </w:rPr>
        <w:lastRenderedPageBreak/>
        <w:t>第二十二部分</w:t>
      </w:r>
      <w:r w:rsidRPr="009E26D0">
        <w:rPr>
          <w:rFonts w:ascii="Times New Roman"/>
          <w:noProof/>
          <w:color w:val="auto"/>
          <w:sz w:val="30"/>
        </w:rPr>
        <w:t xml:space="preserve">  </w:t>
      </w:r>
      <w:r w:rsidRPr="009E26D0">
        <w:rPr>
          <w:rFonts w:ascii="Times New Roman"/>
          <w:noProof/>
          <w:color w:val="auto"/>
          <w:sz w:val="30"/>
        </w:rPr>
        <w:t>基金合同的效力</w:t>
      </w:r>
      <w:bookmarkEnd w:id="68"/>
    </w:p>
    <w:p w14:paraId="3B080FD2" w14:textId="77777777" w:rsidR="007A2B34" w:rsidRPr="0017353E" w:rsidRDefault="007A2B34" w:rsidP="0090469D"/>
    <w:p w14:paraId="3F53AD73"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《基金合同》是约定基金合同当事人之间权利义务关系的法律文件。</w:t>
      </w:r>
    </w:p>
    <w:p w14:paraId="0831FD88" w14:textId="77777777" w:rsidR="00A71A93" w:rsidRDefault="009713AD">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1、《基金合同》经基金管理人、基金托管人双方盖章以及双方法定代表人或授权代表签字或盖章并在募集结束后经基金管理人向中国证监会办理基金备案手续，并经中国证监会书面确认后生效。</w:t>
      </w:r>
    </w:p>
    <w:p w14:paraId="00D7FB57"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2、《基金合同》的有效期自其生效之日起至基金财产清算结果报中国证监会备案并公告之日止。</w:t>
      </w:r>
    </w:p>
    <w:p w14:paraId="78D1DD2B"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3、《基金合同》自生效之日起对包括基金管理人、基金托管人和基金份额持有人在内的《基金合同》各方当事人具有同等的法律约束力。</w:t>
      </w:r>
    </w:p>
    <w:p w14:paraId="261EAD0A"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4、《基金合同》正本一式叁份，除上报有关监管机构一式壹份外，基金管理人、基金托管人各持有壹份，每份具有同等的法律效力。</w:t>
      </w:r>
    </w:p>
    <w:p w14:paraId="01E125BD" w14:textId="77777777" w:rsidR="00A71A93" w:rsidRDefault="009713AD">
      <w:pPr>
        <w:pStyle w:val="div"/>
        <w:spacing w:line="360" w:lineRule="auto"/>
        <w:ind w:firstLine="420"/>
        <w:jc w:val="left"/>
        <w:rPr>
          <w:rFonts w:eastAsia="Times New Roman"/>
          <w:kern w:val="0"/>
          <w:sz w:val="24"/>
          <w:szCs w:val="24"/>
        </w:rPr>
      </w:pPr>
      <w:r>
        <w:rPr>
          <w:rFonts w:ascii="宋体" w:hAnsi="宋体" w:cs="宋体"/>
          <w:kern w:val="0"/>
          <w:sz w:val="24"/>
          <w:szCs w:val="24"/>
        </w:rPr>
        <w:t>5、《基金合同》可印制成册，供投资者在基金管理人、基金托管人、销售机构的办公场所和营业场所查阅。</w:t>
      </w:r>
      <w:r>
        <w:rPr>
          <w:rFonts w:ascii="宋体" w:hAnsi="宋体" w:cs="宋体"/>
          <w:kern w:val="0"/>
          <w:sz w:val="24"/>
          <w:szCs w:val="24"/>
        </w:rPr>
        <w:br w:type="page"/>
      </w:r>
    </w:p>
    <w:p w14:paraId="3571739E" w14:textId="77777777" w:rsidR="009D63C8" w:rsidRDefault="009713AD" w:rsidP="009E26D0">
      <w:pPr>
        <w:pStyle w:val="1"/>
        <w:spacing w:before="0" w:after="0"/>
        <w:jc w:val="center"/>
        <w:rPr>
          <w:rFonts w:ascii="Times New Roman"/>
          <w:color w:val="auto"/>
          <w:sz w:val="30"/>
        </w:rPr>
      </w:pPr>
      <w:bookmarkStart w:id="69" w:name="_Toc256000022"/>
      <w:r w:rsidRPr="009E26D0">
        <w:rPr>
          <w:rFonts w:ascii="Times New Roman"/>
          <w:noProof/>
          <w:color w:val="auto"/>
          <w:sz w:val="30"/>
        </w:rPr>
        <w:lastRenderedPageBreak/>
        <w:t>第二十三部分</w:t>
      </w:r>
      <w:r w:rsidRPr="009E26D0">
        <w:rPr>
          <w:rFonts w:ascii="Times New Roman"/>
          <w:noProof/>
          <w:color w:val="auto"/>
          <w:sz w:val="30"/>
        </w:rPr>
        <w:t xml:space="preserve">  </w:t>
      </w:r>
      <w:r w:rsidRPr="009E26D0">
        <w:rPr>
          <w:rFonts w:ascii="Times New Roman"/>
          <w:noProof/>
          <w:color w:val="auto"/>
          <w:sz w:val="30"/>
        </w:rPr>
        <w:t>其他事项</w:t>
      </w:r>
      <w:bookmarkEnd w:id="69"/>
    </w:p>
    <w:p w14:paraId="5C6D3177" w14:textId="77777777" w:rsidR="007A2B34" w:rsidRPr="0017353E" w:rsidRDefault="007A2B34" w:rsidP="0090469D"/>
    <w:p w14:paraId="640F947F" w14:textId="77777777" w:rsidR="00A71A93" w:rsidRDefault="009713AD">
      <w:pPr>
        <w:pStyle w:val="div"/>
        <w:spacing w:line="360" w:lineRule="auto"/>
        <w:ind w:firstLine="420"/>
        <w:rPr>
          <w:rFonts w:eastAsia="Times New Roman"/>
          <w:kern w:val="0"/>
          <w:sz w:val="24"/>
          <w:szCs w:val="24"/>
        </w:rPr>
      </w:pPr>
      <w:r>
        <w:rPr>
          <w:rFonts w:ascii="宋体" w:hAnsi="宋体" w:cs="宋体"/>
          <w:kern w:val="0"/>
          <w:sz w:val="24"/>
          <w:szCs w:val="24"/>
        </w:rPr>
        <w:t>《基金合同》如有未尽事宜，由《基金合同》当事人各方按有关法律法规协商解决。</w:t>
      </w:r>
      <w:r>
        <w:rPr>
          <w:rFonts w:ascii="宋体" w:hAnsi="宋体" w:cs="宋体"/>
          <w:kern w:val="0"/>
          <w:sz w:val="24"/>
          <w:szCs w:val="24"/>
        </w:rPr>
        <w:br w:type="page"/>
      </w:r>
    </w:p>
    <w:p w14:paraId="44C0A60D" w14:textId="77777777" w:rsidR="009D63C8" w:rsidRDefault="009713AD" w:rsidP="009E26D0">
      <w:pPr>
        <w:pStyle w:val="1"/>
        <w:spacing w:before="0" w:after="0"/>
        <w:jc w:val="center"/>
        <w:rPr>
          <w:rFonts w:ascii="Times New Roman"/>
          <w:color w:val="auto"/>
          <w:sz w:val="30"/>
        </w:rPr>
      </w:pPr>
      <w:bookmarkStart w:id="70" w:name="_Toc256000023"/>
      <w:r w:rsidRPr="009E26D0">
        <w:rPr>
          <w:rFonts w:ascii="Times New Roman"/>
          <w:noProof/>
          <w:color w:val="auto"/>
          <w:sz w:val="30"/>
        </w:rPr>
        <w:lastRenderedPageBreak/>
        <w:t>第二十四部分</w:t>
      </w:r>
      <w:r w:rsidRPr="009E26D0">
        <w:rPr>
          <w:rFonts w:ascii="Times New Roman"/>
          <w:noProof/>
          <w:color w:val="auto"/>
          <w:sz w:val="30"/>
        </w:rPr>
        <w:t xml:space="preserve">  </w:t>
      </w:r>
      <w:r w:rsidRPr="009E26D0">
        <w:rPr>
          <w:rFonts w:ascii="Times New Roman"/>
          <w:noProof/>
          <w:color w:val="auto"/>
          <w:sz w:val="30"/>
        </w:rPr>
        <w:t>基金合同内容摘要</w:t>
      </w:r>
      <w:bookmarkEnd w:id="70"/>
      <w:r>
        <w:rPr>
          <w:rFonts w:ascii="Times New Roman"/>
          <w:color w:val="auto"/>
          <w:sz w:val="30"/>
        </w:rPr>
        <w:br/>
      </w:r>
    </w:p>
    <w:p w14:paraId="2DAF195D"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一、基金合同当事人及权利义务</w:t>
      </w:r>
    </w:p>
    <w:p w14:paraId="316CDA0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（一）基金管理人的权利与义务</w:t>
      </w:r>
    </w:p>
    <w:p w14:paraId="37F619B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1、根据《基金法》、《运作办法》及其他有关规定，基金管理人的权利包括但不限于：</w:t>
      </w:r>
    </w:p>
    <w:p w14:paraId="77443D2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（1）依法募集资金；</w:t>
      </w:r>
    </w:p>
    <w:p w14:paraId="0FEB785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（2）自《基金合同》生效之日起，根据法律法规和《基金合同》独立运用并管理基金财产；</w:t>
      </w:r>
    </w:p>
    <w:p w14:paraId="57751DE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（3）依照《基金合同》收取基金管理费以及法律法规规定或中国证监会批准的其他费用；</w:t>
      </w:r>
    </w:p>
    <w:p w14:paraId="43087DB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（4）销售基金份额；</w:t>
      </w:r>
    </w:p>
    <w:p w14:paraId="37CB665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（5）按照规定召集基金份额持有人大会；</w:t>
      </w:r>
    </w:p>
    <w:p w14:paraId="1121EC6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5D77DCC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（7）在基金托管人更换时，提名新的基金托管人；</w:t>
      </w:r>
    </w:p>
    <w:p w14:paraId="5A5C92B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（8）选择、更换基金销售机构，对基金销售机构的相关行为进行监督和处理；</w:t>
      </w:r>
    </w:p>
    <w:p w14:paraId="2C75053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（9）担任或委托其他符合条件的机构担任基金登记机构办理基金登记业务并获得《基金合同》规定的费用；</w:t>
      </w:r>
    </w:p>
    <w:p w14:paraId="2056ED0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（10）依据《基金合同》及有关法律规定决定基金收益的分配方案；</w:t>
      </w:r>
    </w:p>
    <w:p w14:paraId="41D0B0D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（11）在《基金合同》约定的范围内，拒绝或暂停受理申购与赎回申请；</w:t>
      </w:r>
    </w:p>
    <w:p w14:paraId="7E1BF20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（12）依照法律法规为基金的利益对被投资公司行使股东权利，为基金的利益行使因基金财产投资于证券所产生的权利；</w:t>
      </w:r>
    </w:p>
    <w:p w14:paraId="1120E7E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（13）在法律法规允许的前提下，为基金的利益依法为基金进行融资及转融通证券出借业务；</w:t>
      </w:r>
    </w:p>
    <w:p w14:paraId="366DA8B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（14）以基金管理人的名义，代表基金份额持有人的利益行使诉讼权利或者实施其他法律行为；</w:t>
      </w:r>
    </w:p>
    <w:p w14:paraId="27EF455C"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lastRenderedPageBreak/>
        <w:t>（15）选择、更换律师事务所、会计师事务所、证券经纪商、期货经纪机构或其他为基金提供服务的外部机构；</w:t>
      </w:r>
    </w:p>
    <w:p w14:paraId="2144A713"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（16）在符合有关法律、法规的前提下，制订和调整有关基金认购、申购、赎回、转换、定期定额投资、转托管和非交易过户等业务规则；</w:t>
      </w:r>
    </w:p>
    <w:p w14:paraId="61CA56C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（17）在法律法规和基金合同规定的范围内决定调整基金费率结构和收费方式；</w:t>
      </w:r>
    </w:p>
    <w:p w14:paraId="2A6FBFB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（18）法律法规及中国证监会规定的和《基金合同》约定的其他权利。</w:t>
      </w:r>
    </w:p>
    <w:p w14:paraId="1C1AF53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2、根据《基金法》、《运作办法》及其他有关规定，基金管理人的义务包括但不限于：</w:t>
      </w:r>
    </w:p>
    <w:p w14:paraId="513E5D7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（1）依法募集资金，办理或者委托经中国证监会认定的其他机构代为办理基金份额的发售、申购、赎回和登记事宜；</w:t>
      </w:r>
    </w:p>
    <w:p w14:paraId="60940B7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（2）办理基金备案手续；</w:t>
      </w:r>
    </w:p>
    <w:p w14:paraId="2A89F79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（3）自《基金合同》生效之日起，以诚实信用、谨慎勤勉的原则管理和运用基金财产；</w:t>
      </w:r>
    </w:p>
    <w:p w14:paraId="09ECC17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（4）配备足够的具有专业资格的人员进行基金投资分析、决策，以专业化的经营方式管理和运作基金财产；</w:t>
      </w:r>
    </w:p>
    <w:p w14:paraId="5AC5AE2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（5）建立健全内部风险控制、监察与稽核、财务管理及人事管理等制度，保证所管理的基金财产和基金管理人的财产相互独立，对所管理的不同基金分别管理，分别记账，进行证券投资；</w:t>
      </w:r>
    </w:p>
    <w:p w14:paraId="6CB68DB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（6）除依据《基金法》、《基金合同》及其他有关规定外，不得利用基金财产为自己及任何第三人谋取利益，不得委托第三人运作基金财产；</w:t>
      </w:r>
    </w:p>
    <w:p w14:paraId="3267A23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（7）依法接受基金托管人的监督；</w:t>
      </w:r>
    </w:p>
    <w:p w14:paraId="4CC7C24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（8）采取适当合理的措施使计算基金份额认购、申购、赎回和注销价格的方法符合《基金合同》等法律文件的规定，按有关规定计算并公告基金净值信息，确定基金份额申购、赎回的价格；</w:t>
      </w:r>
    </w:p>
    <w:p w14:paraId="2674AF2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（9）进行基金会计核算并编制基金财务会计报告；</w:t>
      </w:r>
    </w:p>
    <w:p w14:paraId="6571309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（10）编制季度报告、中期报告和年度报告；</w:t>
      </w:r>
    </w:p>
    <w:p w14:paraId="426198C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（11）严格按照《基金法》、《基金合同》及其他有关规定，履行信息披露及报告义务；</w:t>
      </w:r>
    </w:p>
    <w:p w14:paraId="352FADB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14:paraId="0127222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（13）按《基金合同》的约定确定基金收益分配方案，及时向基金份额持有人分配基金收益；</w:t>
      </w:r>
    </w:p>
    <w:p w14:paraId="5555737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（14）按规定受理申购与赎回申请，及时、足额支付赎回款项；</w:t>
      </w:r>
    </w:p>
    <w:p w14:paraId="4A3B01B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（15）依据《基金法》、《基金合同》及其他有关规定召集基金份额持有人大会或配合基金托管人、基金份额持有人依法召集基金份额持有人大会；</w:t>
      </w:r>
    </w:p>
    <w:p w14:paraId="54BD568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（16）按规定保存基金财产管理业务活动的会计账册、报表、记录和其他相关资料不少于法定最低期限；</w:t>
      </w:r>
    </w:p>
    <w:p w14:paraId="7EACF70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C8D585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（18）组织并参加基金财产清算小组，参与基金财产的保管、清理、估价、变现和分配；</w:t>
      </w:r>
    </w:p>
    <w:p w14:paraId="65825C5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（19）面临解散、依法被撤销或者被依法宣告破产时，及时报告中国证监会并通知基金托管人；</w:t>
      </w:r>
    </w:p>
    <w:p w14:paraId="551E516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（20）因违反《基金合同》导致基金财产的损失或损害基金份额持有人合法权益时，应当承担赔偿责任，其赔偿责任不因其退任而免除；</w:t>
      </w:r>
    </w:p>
    <w:p w14:paraId="07267CD2"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（21）监督基金托管人按法律法规和《基金合同》规定履行自己的义务，基金托管人违反《基金合同》造成基金财产损失时，基金管理人应为基金份额持有人利益向基金托管人追偿；</w:t>
      </w:r>
    </w:p>
    <w:p w14:paraId="6A8F3CE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（22）当基金管理人将其义务委托第三方处理时，应当对第三方处理有关基金事务的行为承担责任；</w:t>
      </w:r>
    </w:p>
    <w:p w14:paraId="142182F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（23）以基金管理人名义，代表基金份额持有人利益行使诉讼权利或实施其他法律行为；</w:t>
      </w:r>
    </w:p>
    <w:p w14:paraId="64A9943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（24）基金管理人在募集期间未能达到基金的备案条件，《基金合同》不能生效，基金管理人承担全部募集费用，将已募集资金并加计银行同期活期存</w:t>
      </w:r>
      <w:r>
        <w:rPr>
          <w:rFonts w:ascii="宋体" w:hAnsi="宋体" w:cs="宋体"/>
          <w:kern w:val="0"/>
          <w:sz w:val="24"/>
          <w:szCs w:val="24"/>
        </w:rPr>
        <w:lastRenderedPageBreak/>
        <w:t>款利息在基金募集期结束后30日内退还基金认购人；</w:t>
      </w:r>
    </w:p>
    <w:p w14:paraId="58A8106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（25）执行生效的基金份额持有人大会的决议；</w:t>
      </w:r>
    </w:p>
    <w:p w14:paraId="428ABE2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（26）建立并保存基金份额持有人名册；</w:t>
      </w:r>
    </w:p>
    <w:p w14:paraId="5FAE8E0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（27）法律法规及中国证监会规定的和《基金合同》约定的其他义务。</w:t>
      </w:r>
    </w:p>
    <w:p w14:paraId="468A850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（二）基金托管人的权利与义务</w:t>
      </w:r>
    </w:p>
    <w:p w14:paraId="4B1ED82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1、根据《基金法》、《运作办法》及其他有关规定，基金托管人的权利包括但不限于：</w:t>
      </w:r>
    </w:p>
    <w:p w14:paraId="795826B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（1）自《基金合同》生效之日起，依法律法规和《基金合同》的规定安全保管基金财产；</w:t>
      </w:r>
    </w:p>
    <w:p w14:paraId="45D30C2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（2）依《基金合同》约定获得基金托管费以及法律法规规定或监管部门批准的其他费用；</w:t>
      </w:r>
    </w:p>
    <w:p w14:paraId="4C8733B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9D83970"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（4）根据相关市场规则，为基金开设资金账户、证券账户等投资所需账户，为基金办理证券、期货交易资金清算；</w:t>
      </w:r>
    </w:p>
    <w:p w14:paraId="772079D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（5）提议召开或召集基金份额持有人大会；</w:t>
      </w:r>
    </w:p>
    <w:p w14:paraId="33EF2C8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（6）在基金管理人更换时，提名新的基金管理人；</w:t>
      </w:r>
    </w:p>
    <w:p w14:paraId="798D42B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（7）法律法规及中国证监会规定的和《基金合同》约定的其他权利。</w:t>
      </w:r>
    </w:p>
    <w:p w14:paraId="3B462FD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2、根据《基金法》、《运作办法》及其他有关规定，基金托管人的义务包括但不限于：</w:t>
      </w:r>
    </w:p>
    <w:p w14:paraId="0EA71E02"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（1）以诚实信用、勤勉尽责的原则持有并安全保管基金财产；</w:t>
      </w:r>
    </w:p>
    <w:p w14:paraId="3C36FBB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（2）设立专门的基金托管部门，具有符合要求的营业场所，配备足够的、合格的熟悉基金托管业务的专职人员，负责基金财产托管事宜；</w:t>
      </w:r>
    </w:p>
    <w:p w14:paraId="2463257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AA0665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（4）除依据《基金法》、《基金合同》及其他有关规定外，不得利用基金</w:t>
      </w:r>
      <w:r>
        <w:rPr>
          <w:rFonts w:ascii="宋体" w:hAnsi="宋体" w:cs="宋体"/>
          <w:kern w:val="0"/>
          <w:sz w:val="24"/>
          <w:szCs w:val="24"/>
        </w:rPr>
        <w:lastRenderedPageBreak/>
        <w:t>财产为自己及任何第三人谋取利益，不得委托第三人托管基金财产；</w:t>
      </w:r>
    </w:p>
    <w:p w14:paraId="468244C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（5）保管由基金管理人代表基金签订的与基金有关的重大合同及有关凭证；</w:t>
      </w:r>
    </w:p>
    <w:p w14:paraId="0E969E0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（6）按规定开设基金财产的资金账户、证券账户等投资所需账户，按照《基金合同》的约定，根据基金管理人的投资指令，及时办理清算、交割事宜；</w:t>
      </w:r>
    </w:p>
    <w:p w14:paraId="433A454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2D812FA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（8）复核、审查基金管理人计算的基金资产净值、各类基金份额净值、基金份额申购、赎回价格；</w:t>
      </w:r>
    </w:p>
    <w:p w14:paraId="500DF89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（9）办理与基金托管业务活动有关的信息披露事项；</w:t>
      </w:r>
    </w:p>
    <w:p w14:paraId="43070B1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0041D88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（11）保存基金托管业务活动的记录、账册、报表和其他相关资料不少于法定最低期限；</w:t>
      </w:r>
    </w:p>
    <w:p w14:paraId="791BDAE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（12）从基金管理人或其委托的登记机构处接收并保存基金份额持有人名册；</w:t>
      </w:r>
    </w:p>
    <w:p w14:paraId="3CAA9EE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（13）按规定制作相关账册并与基金管理人核对；</w:t>
      </w:r>
    </w:p>
    <w:p w14:paraId="789FB07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（14）依据基金管理人的指令或有关规定向基金份额持有人支付基金收益和赎回款项；</w:t>
      </w:r>
    </w:p>
    <w:p w14:paraId="2141417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（15）依据《基金法》、《基金合同》及其他有关规定，召集基金份额持有人大会或配合基金管理人、基金份额持有人依法召集基金份额持有人大会；</w:t>
      </w:r>
    </w:p>
    <w:p w14:paraId="5F7A08E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（16）按照法律法规和《基金合同》的规定监督基金管理人的投资运作；</w:t>
      </w:r>
    </w:p>
    <w:p w14:paraId="67B3DA4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（17）参加基金财产清算小组，参与基金财产的保管、清理、估价、变现和分配；</w:t>
      </w:r>
    </w:p>
    <w:p w14:paraId="79CAED7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lastRenderedPageBreak/>
        <w:t>（18）面临解散、依法被撤销或者被依法宣告破产时，及时报告中国证监会和银行业监督管理机构，并通知基金管理人；</w:t>
      </w:r>
    </w:p>
    <w:p w14:paraId="790546E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（19）因违反《基金合同》导致基金财产损失时，应承担赔偿责任，其赔偿责任不因其退任而免除；</w:t>
      </w:r>
    </w:p>
    <w:p w14:paraId="5A7EB14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（20）按规定监督基金管理人按法律法规和《基金合同》规定履行自己的义务，基金管理人因违反《基金合同》造成基金财产损失时，应为基金份额持有人利益向基金管理人追偿；</w:t>
      </w:r>
    </w:p>
    <w:p w14:paraId="496335F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（21）执行生效的基金份额持有人大会的决议；</w:t>
      </w:r>
    </w:p>
    <w:p w14:paraId="7E1A7B1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（22）法律法规及中国证监会规定的和《基金合同》约定的其他义务。</w:t>
      </w:r>
    </w:p>
    <w:p w14:paraId="58F198F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（三）基金份额持有人的权利和义务</w:t>
      </w:r>
    </w:p>
    <w:p w14:paraId="47872E8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2811AEB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同一类别内每份基金份额具有同等的合法权益。</w:t>
      </w:r>
    </w:p>
    <w:p w14:paraId="4969687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1、根据《基金法》、《运作办法》及其他有关规定，基金份额持有人的权利包括但不限于：</w:t>
      </w:r>
    </w:p>
    <w:p w14:paraId="6BDA8FD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（1）分享基金财产收益；</w:t>
      </w:r>
    </w:p>
    <w:p w14:paraId="3ACC7AA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（2）参与分配清算后的剩余基金财产；</w:t>
      </w:r>
    </w:p>
    <w:p w14:paraId="5189386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（3）依法转让或者申请赎回其持有的基金份额；</w:t>
      </w:r>
    </w:p>
    <w:p w14:paraId="1845669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（4）按照规定要求召开基金份额持有人大会或者召集基金份额持有人大会；</w:t>
      </w:r>
    </w:p>
    <w:p w14:paraId="397D77E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（5）出席或者委派代表出席基金份额持有人大会，对基金份额持有人大会审议事项行使表决权；</w:t>
      </w:r>
    </w:p>
    <w:p w14:paraId="1D6E034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（6）查阅或者复制公开披露的基金信息资料；</w:t>
      </w:r>
    </w:p>
    <w:p w14:paraId="2081A32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（7）监督基金管理人的投资运作；</w:t>
      </w:r>
    </w:p>
    <w:p w14:paraId="285BC9A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（8）对基金管理人、基金托管人、基金服务机构损害其合法权益的行为依法提起诉讼或仲裁；</w:t>
      </w:r>
    </w:p>
    <w:p w14:paraId="6454135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（9）法律法规及中国证监会规定的和《基金合同》约定的其他权利。</w:t>
      </w:r>
    </w:p>
    <w:p w14:paraId="0877AEC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2、根据《基金法》、《运作办法》及其他有关规定，基金份额持有人的义务包括但不限于：</w:t>
      </w:r>
    </w:p>
    <w:p w14:paraId="7277DF0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（1）认真阅读并遵守《基金合同》、《招募说明书》等信息披露文件；</w:t>
      </w:r>
    </w:p>
    <w:p w14:paraId="7BB4033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（2）了解所投资基金产品，了解自身风险承受能力，自主判断基金的投资价值，自主做出投资决策，自行承担投资风险；</w:t>
      </w:r>
    </w:p>
    <w:p w14:paraId="43ECD9A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（3）关注基金信息披露，及时行使权利和履行义务；</w:t>
      </w:r>
    </w:p>
    <w:p w14:paraId="7066D92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（4）交纳基金认购、申购款项及法律法规和《基金合同》所规定的费用；</w:t>
      </w:r>
    </w:p>
    <w:p w14:paraId="34A6505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（5）在其持有的基金份额范围内，承担基金亏损或者《基金合同》终止的有限责任；</w:t>
      </w:r>
    </w:p>
    <w:p w14:paraId="6B64EE0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（6）不从事任何有损基金及其他《基金合同》当事人合法权益的活动；</w:t>
      </w:r>
    </w:p>
    <w:p w14:paraId="1A0D376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（7）执行生效的基金份额持有人大会的决议；</w:t>
      </w:r>
    </w:p>
    <w:p w14:paraId="0813136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（8）返还在基金交易过程中因任何原因获得的不当得利；</w:t>
      </w:r>
    </w:p>
    <w:p w14:paraId="5EDC3DF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（9）提供基金管理人和监管机构依法要求提供的信息，以及不时的更新和补充，并保证其真实性；</w:t>
      </w:r>
    </w:p>
    <w:p w14:paraId="42422DF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（10）遵守基金管理人、基金托管人、销售机构和登记机构的相关交易及业务规则；</w:t>
      </w:r>
    </w:p>
    <w:p w14:paraId="7FEADCA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（11）法律法规及中国证监会规定的和《基金合同》约定的其他义务。</w:t>
      </w:r>
    </w:p>
    <w:p w14:paraId="702111FE"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二、基金份额持有人大会</w:t>
      </w:r>
    </w:p>
    <w:p w14:paraId="3FBC372F"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14:paraId="329DCDE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本基金份额持有人大会不设日常机构。</w:t>
      </w:r>
    </w:p>
    <w:p w14:paraId="6AF204B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（一）召开事由</w:t>
      </w:r>
    </w:p>
    <w:p w14:paraId="61ABD7D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1、当出现或需要决定下列事由之一的，应当召开基金份额持有人大会，法律法规、中国证监会另有规定或基金合同另有约定的除外：</w:t>
      </w:r>
    </w:p>
    <w:p w14:paraId="18843A9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（1）终止《基金合同》；</w:t>
      </w:r>
    </w:p>
    <w:p w14:paraId="23C83A0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（2）更换基金管理人；</w:t>
      </w:r>
    </w:p>
    <w:p w14:paraId="5367C8F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（3）更换基金托管人；</w:t>
      </w:r>
    </w:p>
    <w:p w14:paraId="4F96313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（4）转换基金运作方式；</w:t>
      </w:r>
    </w:p>
    <w:p w14:paraId="4FEB7B6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（5）调整基金管理人、基金托管人的报酬标准或提高销售服务费率；</w:t>
      </w:r>
    </w:p>
    <w:p w14:paraId="17EADA0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（6）变更基金类别；</w:t>
      </w:r>
    </w:p>
    <w:p w14:paraId="27BAA7F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（7）本基金与其他基金的合并；</w:t>
      </w:r>
    </w:p>
    <w:p w14:paraId="3ECB7B4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（8）变更基金投资目标、范围或策略；</w:t>
      </w:r>
    </w:p>
    <w:p w14:paraId="1F4497D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（9）变更基金份额持有人大会程序；</w:t>
      </w:r>
    </w:p>
    <w:p w14:paraId="2581555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（10）基金管理人或基金托管人要求召开基金份额持有人大会；</w:t>
      </w:r>
    </w:p>
    <w:p w14:paraId="6DB4B73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（11）单独或合计持有本基金总份额10%以上（含10%）基金份额的基金份额持有人（以基金管理人收到提议当日的基金份额计算，下同）就同一事项书面要求召开基金份额持有人大会；</w:t>
      </w:r>
    </w:p>
    <w:p w14:paraId="48E57812"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（12）对基金合同当事人权利和义务产生重大影响的其他事项；</w:t>
      </w:r>
    </w:p>
    <w:p w14:paraId="263C224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（13）法律法规、《基金合同》或中国证监会规定的其他应当召开基金份额持有人大会的事项。</w:t>
      </w:r>
    </w:p>
    <w:p w14:paraId="6BFBF28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2、在法律法规规定和《基金合同》约定的范围内且对基金份额持有人利益无实质性不利影响的前提下，以下情况可由基金管理人和基金托管人协商后修改，不需召开基金份额持有人大会：</w:t>
      </w:r>
    </w:p>
    <w:p w14:paraId="3B94251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（1）法律法规要求增加的基金费用的收取；</w:t>
      </w:r>
    </w:p>
    <w:p w14:paraId="3D5FF3E5" w14:textId="6EBB5439" w:rsidR="000A052A" w:rsidRDefault="009713AD">
      <w:pPr>
        <w:spacing w:line="360" w:lineRule="auto"/>
        <w:ind w:firstLine="480"/>
        <w:rPr>
          <w:rFonts w:eastAsia="Times New Roman"/>
          <w:kern w:val="0"/>
          <w:sz w:val="24"/>
          <w:szCs w:val="24"/>
        </w:rPr>
      </w:pPr>
      <w:r>
        <w:rPr>
          <w:rFonts w:ascii="宋体" w:hAnsi="宋体" w:cs="宋体"/>
          <w:kern w:val="0"/>
          <w:sz w:val="24"/>
          <w:szCs w:val="24"/>
        </w:rPr>
        <w:t>（2）调整本基金的申购费率、调低销售服务费率或变更收费方式；</w:t>
      </w:r>
    </w:p>
    <w:p w14:paraId="251C5A6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（3）增加、减少或调整基金份额类别设置或者调整基金份额分类办法及规则等；</w:t>
      </w:r>
    </w:p>
    <w:p w14:paraId="4BC5F751"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（4）因相应的法律法规发生变动而应当对《基金合同》进行修改；</w:t>
      </w:r>
    </w:p>
    <w:p w14:paraId="04ADB19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（5）基金管理人和基金登记机构等调整或修改《业务规则》，包括但不限于有关基金认购、申购、赎回、转换、非交易过户、转托管等内容；</w:t>
      </w:r>
    </w:p>
    <w:p w14:paraId="168305E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（6）对《基金合同》的修改对基金份额持有人利益无实质性不利影响或修改不涉及《基金合同》当事人权利义务关系发生重大变化；</w:t>
      </w:r>
    </w:p>
    <w:p w14:paraId="3B859DF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（7）在履行适当程序后，基金推出新业务或服务；</w:t>
      </w:r>
    </w:p>
    <w:p w14:paraId="100B12E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（8）按照法律法规和《基金合同》规定不需召开基金份额持有人大会的其他情形。</w:t>
      </w:r>
    </w:p>
    <w:p w14:paraId="13E03A6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（二）会议召集人及召集方式</w:t>
      </w:r>
    </w:p>
    <w:p w14:paraId="1C2C394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1、除法律法规规定或《基金合同》另有约定外，基金份额持有人大会由基金管理人召集。</w:t>
      </w:r>
    </w:p>
    <w:p w14:paraId="679E792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2、基金管理人未按规定召集或不能召集时，由基金托管人召集。</w:t>
      </w:r>
    </w:p>
    <w:p w14:paraId="459A28D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461D232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66DB979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1152792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6、基金份额持有人会议的召集人负责选择确定开会时间、地点、方式和权益登记日。</w:t>
      </w:r>
    </w:p>
    <w:p w14:paraId="23FFBBF2"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（三）召开基金份额持有人大会的通知时间、通知内容、通知方式</w:t>
      </w:r>
    </w:p>
    <w:p w14:paraId="24D9EB6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1、召开基金份额持有人大会，召集人应于会议召开前30日，在规定媒介公告。基金份额持有人大会通知应至少载明以下内容：</w:t>
      </w:r>
    </w:p>
    <w:p w14:paraId="5728F35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（1）会议召开的时间、地点和会议形式；</w:t>
      </w:r>
    </w:p>
    <w:p w14:paraId="590BFC1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（2）会议拟审议的事项、议事程序和表决方式；</w:t>
      </w:r>
    </w:p>
    <w:p w14:paraId="3BD1D92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（3）有权出席基金份额持有人大会的基金份额持有人的权益登记日；</w:t>
      </w:r>
    </w:p>
    <w:p w14:paraId="7C84000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（4）授权委托证明的内容要求（包括但不限于代理人身份，代理权限和代理有效期限等）、送达时间和地点；</w:t>
      </w:r>
    </w:p>
    <w:p w14:paraId="6F03325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（5）会务常设联系人姓名及联系电话；</w:t>
      </w:r>
    </w:p>
    <w:p w14:paraId="68AE126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（6）出席会议者必须准备的文件和必须履行的手续；</w:t>
      </w:r>
    </w:p>
    <w:p w14:paraId="7906116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（7）召集人需要通知的其他事项。</w:t>
      </w:r>
    </w:p>
    <w:p w14:paraId="78D6778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56B4717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37128E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（四）基金份额持有人出席会议的方式</w:t>
      </w:r>
    </w:p>
    <w:p w14:paraId="073B4E3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基金份额持有人大会可通过现场开会方式、通讯开会方式或法律法规、监管机构允许的其他方式召开，会议的召开方式由会议召集人确定。</w:t>
      </w:r>
    </w:p>
    <w:p w14:paraId="09341FB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FB2A9B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425CEA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w:t>
      </w:r>
      <w:r>
        <w:rPr>
          <w:rFonts w:ascii="宋体" w:hAnsi="宋体" w:cs="宋体"/>
          <w:kern w:val="0"/>
          <w:sz w:val="24"/>
          <w:szCs w:val="24"/>
        </w:rPr>
        <w:lastRenderedPageBreak/>
        <w:t>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6976FD6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通讯开会。通讯开会系指基金份额持有人将其对表决事项的投票以书面形式或大会公告载明的其他方式在表决截止日以前送达至召集人指定的地址或系统。通讯开会应以书面方式或大会公告载明的其他方式进行表决。</w:t>
      </w:r>
    </w:p>
    <w:p w14:paraId="14E4D6C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在同时符合以下条件时，通讯开会的方式视为有效：</w:t>
      </w:r>
    </w:p>
    <w:p w14:paraId="2A1143A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（1）会议召集人按《基金合同》约定公布会议通知后，在2个工作日内连续公布相关提示性公告；</w:t>
      </w:r>
    </w:p>
    <w:p w14:paraId="735D149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54EBC42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73D15AE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4198E2A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3、在法律法规和监管机构允许的情况下，本基金亦可采用网络、电话、短信等其他非现场方式或者以非现场方式与现场方式结合的方式召开基金份额持</w:t>
      </w:r>
      <w:r>
        <w:rPr>
          <w:rFonts w:ascii="宋体" w:hAnsi="宋体" w:cs="宋体"/>
          <w:kern w:val="0"/>
          <w:sz w:val="24"/>
          <w:szCs w:val="24"/>
        </w:rPr>
        <w:lastRenderedPageBreak/>
        <w:t>有人大会，或者采用网络、电话、短信或其他方式授权他人代为出席会议并表决，会议程序比照现场开会和通讯方式开会的程序进行。</w:t>
      </w:r>
    </w:p>
    <w:p w14:paraId="213BE40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（五）议事内容与程序</w:t>
      </w:r>
    </w:p>
    <w:p w14:paraId="11A7C5B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1、议事内容及提案权</w:t>
      </w:r>
    </w:p>
    <w:p w14:paraId="6C581FB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BC6B350"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14:paraId="60D9BE21"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基金份额持有人大会不得对未事先公告的议事内容进行表决。</w:t>
      </w:r>
    </w:p>
    <w:p w14:paraId="1C5FEF6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2、议事程序</w:t>
      </w:r>
    </w:p>
    <w:p w14:paraId="2770F09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（1）现场开会</w:t>
      </w:r>
    </w:p>
    <w:p w14:paraId="32CB3324"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在现场开会的方式下，首先由大会主持人按照下列第</w:t>
      </w:r>
      <w:r w:rsidR="0006627D">
        <w:rPr>
          <w:rFonts w:ascii="宋体" w:hAnsi="宋体" w:cs="宋体" w:hint="eastAsia"/>
          <w:kern w:val="0"/>
          <w:sz w:val="24"/>
          <w:szCs w:val="24"/>
        </w:rPr>
        <w:t>（</w:t>
      </w:r>
      <w:r>
        <w:rPr>
          <w:rFonts w:ascii="宋体" w:hAnsi="宋体" w:cs="宋体"/>
          <w:kern w:val="0"/>
          <w:sz w:val="24"/>
          <w:szCs w:val="24"/>
        </w:rPr>
        <w:t>七</w:t>
      </w:r>
      <w:r w:rsidR="0006627D">
        <w:rPr>
          <w:rFonts w:ascii="宋体" w:hAnsi="宋体" w:cs="宋体" w:hint="eastAsia"/>
          <w:kern w:val="0"/>
          <w:sz w:val="24"/>
          <w:szCs w:val="24"/>
        </w:rPr>
        <w:t>）</w:t>
      </w:r>
      <w:r>
        <w:rPr>
          <w:rFonts w:ascii="宋体" w:hAnsi="宋体" w:cs="宋体"/>
          <w:kern w:val="0"/>
          <w:sz w:val="24"/>
          <w:szCs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3875B4D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16A7378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（2）通讯开会</w:t>
      </w:r>
    </w:p>
    <w:p w14:paraId="280A2251"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在通讯开会的情况下，首先由召集人提前30日公布提案，在所通知的表决截止日期后2个工作日内在公证机关监督下由召集人统计全部有效表决，在公证机关监督下形成决议。</w:t>
      </w:r>
    </w:p>
    <w:p w14:paraId="27D342F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（六）表决</w:t>
      </w:r>
    </w:p>
    <w:p w14:paraId="6EBCA06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lastRenderedPageBreak/>
        <w:t>基金份额持有人所持每份基金份额有一票表决权。</w:t>
      </w:r>
    </w:p>
    <w:p w14:paraId="55632CE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基金份额持有人大会决议分为一般决议和特别决议：</w:t>
      </w:r>
    </w:p>
    <w:p w14:paraId="58BE292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123CABF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2、特别决议，特别决议应当经参加大会的基金份额持有人或其代理人所持表决权的三分之二以上（含三分之二）通过方可做出。</w:t>
      </w:r>
    </w:p>
    <w:p w14:paraId="3C9DAF1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除《基金合同》另有约定外，转换基金运作方式、更换基金管理人或者基金托管人、终止《基金合同》、本基金与其他基金合并以特别决议通过方为有效。</w:t>
      </w:r>
    </w:p>
    <w:p w14:paraId="08530470"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基金份额持有人大会采取记名方式进行投票表决。</w:t>
      </w:r>
    </w:p>
    <w:p w14:paraId="73DDF28F"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24AF48C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基金份额持有人大会的各项提案或同一项提案内并列的各项议题应当分开审议、逐项表决。</w:t>
      </w:r>
    </w:p>
    <w:p w14:paraId="73885C8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（七）计票</w:t>
      </w:r>
    </w:p>
    <w:p w14:paraId="515182A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1、现场开会</w:t>
      </w:r>
    </w:p>
    <w:p w14:paraId="3F0E06B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不影响计票的效力。</w:t>
      </w:r>
    </w:p>
    <w:p w14:paraId="1824E10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（2）监票人应当在基金份额持有人表决后立即进行清点并由大会主持人当场公布计票结果。</w:t>
      </w:r>
    </w:p>
    <w:p w14:paraId="59DA23C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209C9A9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（4）计票过程应由公证机关予以公证，基金管理人或基金托管人拒不出席大会的，不影响计票的效力。</w:t>
      </w:r>
    </w:p>
    <w:p w14:paraId="32E4276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2、通讯开会</w:t>
      </w:r>
    </w:p>
    <w:p w14:paraId="75C8F80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39E1162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（八）生效与公告</w:t>
      </w:r>
    </w:p>
    <w:p w14:paraId="0B1C2473"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基金份额持有人大会的决议，召集人应当自通过之日起5日内报中国证监会备案。</w:t>
      </w:r>
    </w:p>
    <w:p w14:paraId="51AF056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基金份额持有人大会的决议自表决通过之日起生效。</w:t>
      </w:r>
    </w:p>
    <w:p w14:paraId="4270028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基金份额持有人大会决议自生效之日起2日内在规定媒介上公告。如果采用通讯方式进行表决，在公告基金份额持有人大会决议时，必须将公证书全文、公证机构、公证员姓名等一同公告。</w:t>
      </w:r>
    </w:p>
    <w:p w14:paraId="5E1E16B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435B29C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（九）实施侧袋机制期间基金份额持有人大会的特殊约定</w:t>
      </w:r>
    </w:p>
    <w:p w14:paraId="1B5D8378"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6D89487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1、基金份额持有人行使提议权、召集权、提名权所需单独或合计代表相关基金份额10%以上（含10%）；</w:t>
      </w:r>
    </w:p>
    <w:p w14:paraId="46ADEE1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2、现场开会的到会者在权益登记日代表的基金份额不少于本基金在权益登</w:t>
      </w:r>
      <w:r>
        <w:rPr>
          <w:rFonts w:ascii="宋体" w:hAnsi="宋体" w:cs="宋体"/>
          <w:kern w:val="0"/>
          <w:sz w:val="24"/>
          <w:szCs w:val="24"/>
        </w:rPr>
        <w:lastRenderedPageBreak/>
        <w:t>记日相关基金份额的二分之一（含二分之一）；</w:t>
      </w:r>
    </w:p>
    <w:p w14:paraId="199317A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3、通讯开会的直接出具书面意见或授权他人代表出具书面意见的基金份额持有人所持有的基金份额不小于在权益登记日相关基金份额的二分之一（含二分之一）；</w:t>
      </w:r>
    </w:p>
    <w:p w14:paraId="3AFF702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747F80F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5、现场开会由出席大会的基金份额持有人和代理人所持表决权的50%以上（含50%）选举产生一名基金份额持有人作为该次基金份额持有人大会的主持人；</w:t>
      </w:r>
    </w:p>
    <w:p w14:paraId="5A84091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6、一般决议须经参加大会的基金份额持有人或其代理人所持表决权的二分之一以上（含二分之一）通过；</w:t>
      </w:r>
    </w:p>
    <w:p w14:paraId="165D33B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7、特别决议应当经参加大会的基金份额持有人或其代理人所持表决权的三分之二以上（含三分之二）通过。</w:t>
      </w:r>
    </w:p>
    <w:p w14:paraId="10949E3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同一主侧袋账户内的每份基金份额具有平等的表决权。</w:t>
      </w:r>
    </w:p>
    <w:p w14:paraId="30873F9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十）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p>
    <w:p w14:paraId="4F9F2486"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三、基金收益分配原则、执行方式</w:t>
      </w:r>
    </w:p>
    <w:p w14:paraId="27490A0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（一）基金利润的构成</w:t>
      </w:r>
    </w:p>
    <w:p w14:paraId="3811ED0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14:paraId="22C0155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（二）基金可供分配利润</w:t>
      </w:r>
    </w:p>
    <w:p w14:paraId="3E00847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14:paraId="34E7012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（三）基金收益分配原则</w:t>
      </w:r>
    </w:p>
    <w:p w14:paraId="1D2518C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1、在符合有关基金分红条件的前提下，本基金可进行基金收益分配，若《基金合同》生效不满3个月可不进行收益分配；</w:t>
      </w:r>
    </w:p>
    <w:p w14:paraId="333466A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2、本基金收益分配方式分两种：现金分红与红利再投资，投资者可选择现金红利或将现金红利自动转为相应类别的基金份额进行再投资，基金份额持有人可对A类、C类基金份额分别选择不同的分红方式；若投资者不选择，本基金默认的收益分配方式是现金分红；</w:t>
      </w:r>
    </w:p>
    <w:p w14:paraId="7C53F99F"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3、基金管理人可对基金相对业绩比较基准的超额收益率和/或基金的可供分配利润进行评价，当收益评价日核定的超额收益率或者基金可供分配利润金额大于零时，基金管理人可进行收益分配；</w:t>
      </w:r>
    </w:p>
    <w:p w14:paraId="3C9C55D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当基金收益分配根据基金相对业绩比较基准的超额收益率决定时，基于本基金的特点，本基金收益分配无需以弥补亏损为前提，收益分配后各类基金份额净值有可能低于面值；当基金收益分配根据基金可供分配利润金额决定时，本基金收益分配后各类基金份额净值不能低于面值，即基金收益分配基准日的各类基金份额净值减去每单位该类基金份额收益分配金额后不能低于面值；</w:t>
      </w:r>
    </w:p>
    <w:p w14:paraId="5496673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5、同一类别内每一基金份额享有同等分配权；</w:t>
      </w:r>
    </w:p>
    <w:p w14:paraId="290336E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6、法律法规或监管机构另有规定的，从其规定。</w:t>
      </w:r>
    </w:p>
    <w:p w14:paraId="7B5CED3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在不违反法律法规且对基金份额持有人利益无实质性不利影响的前提下，基金管理人在与基金托管人协商一致后，经履行适当程序，可对基金收益分配原则进行调整，无需召开基金份额持有人大会。</w:t>
      </w:r>
    </w:p>
    <w:p w14:paraId="3704450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（四）收益分配方案</w:t>
      </w:r>
    </w:p>
    <w:p w14:paraId="39D8B0F3"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基金收益分配方案中应载明截至收益分配基准日的可供分配利润、基金收益分配对象、分配时间、分配数额及比例、分配方式等内容。</w:t>
      </w:r>
    </w:p>
    <w:p w14:paraId="490935D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（五）收益分配方案的确定、公告与实施</w:t>
      </w:r>
    </w:p>
    <w:p w14:paraId="0163519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本基金收益分配方案由基金管理人拟定，并由基金托管人复核，在2日内在规定媒介公告。</w:t>
      </w:r>
    </w:p>
    <w:p w14:paraId="5A3E21E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（六）基金收益分配中发生的费用</w:t>
      </w:r>
    </w:p>
    <w:p w14:paraId="1CA7E4D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w:t>
      </w:r>
      <w:r>
        <w:rPr>
          <w:rFonts w:ascii="宋体" w:hAnsi="宋体" w:cs="宋体"/>
          <w:kern w:val="0"/>
          <w:sz w:val="24"/>
          <w:szCs w:val="24"/>
        </w:rPr>
        <w:lastRenderedPageBreak/>
        <w:t>资的计算方法，依照《业务规则》执行。</w:t>
      </w:r>
    </w:p>
    <w:p w14:paraId="7003522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（七）实施侧袋机制期间的收益分配</w:t>
      </w:r>
    </w:p>
    <w:p w14:paraId="4A730BD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本基金实施侧袋机制的，侧袋账户不进行收益分配，详见招募说明书的规定。</w:t>
      </w:r>
    </w:p>
    <w:p w14:paraId="3A9A0C26"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四、与基金财产管理、运用有关费用的提取、支付方式与比例</w:t>
      </w:r>
    </w:p>
    <w:p w14:paraId="42D0EDD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（一）基金费用的种类</w:t>
      </w:r>
    </w:p>
    <w:p w14:paraId="64420BE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1、基金管理人的管理费；</w:t>
      </w:r>
    </w:p>
    <w:p w14:paraId="54CE935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2、基金托管人的托管费；</w:t>
      </w:r>
    </w:p>
    <w:p w14:paraId="13F7AAA8"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3、销售服务费；</w:t>
      </w:r>
    </w:p>
    <w:p w14:paraId="1F5AA30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4、《基金合同》生效后与基金相关的信息披露费用（但法律法规、中国证监会另有规定的除外）；</w:t>
      </w:r>
    </w:p>
    <w:p w14:paraId="732D45F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5、《基金合同》生效后与基金相关的会计师费、律师费、仲裁费和诉讼费；</w:t>
      </w:r>
    </w:p>
    <w:p w14:paraId="2AE3042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6、基金份额持有人大会费用；</w:t>
      </w:r>
    </w:p>
    <w:p w14:paraId="6224298F"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7、基金的证券、期货等交易费用；</w:t>
      </w:r>
    </w:p>
    <w:p w14:paraId="205B2C6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8、基金的银行汇划费用；</w:t>
      </w:r>
    </w:p>
    <w:p w14:paraId="64C3B3B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9、基金的账户开户费用、账户维护费用；</w:t>
      </w:r>
    </w:p>
    <w:p w14:paraId="42D1C80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10、因投资港股通标的股票而产生的各项合理费用；</w:t>
      </w:r>
    </w:p>
    <w:p w14:paraId="04F35A8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11、按照国家有关规定和《基金合同》约定，可以在基金财产中列支的其他费用。</w:t>
      </w:r>
    </w:p>
    <w:p w14:paraId="06E4F0C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（二）基金费用计提方法、计提标准和支付方式</w:t>
      </w:r>
    </w:p>
    <w:p w14:paraId="17F5757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1、基金管理人的管理费</w:t>
      </w:r>
    </w:p>
    <w:p w14:paraId="3EA8C733"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本基金的管理费按前一日基金资产净值的0.80%年费率计提。管理费的计算方法如下：</w:t>
      </w:r>
    </w:p>
    <w:p w14:paraId="6BEECF5C"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H＝E×0.80%÷当年天数</w:t>
      </w:r>
    </w:p>
    <w:p w14:paraId="4395E27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H为每日应计提的基金管理费</w:t>
      </w:r>
    </w:p>
    <w:p w14:paraId="681E2514"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E为前一日的基金资产净值</w:t>
      </w:r>
    </w:p>
    <w:p w14:paraId="67816A6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管理费每日计提，逐日累计至每月月末，按月支付，经基金管理人与基金托管人双方核对无误后，自动在次月初五个工作日内、按照指定的账户路径进行资金支付，基金管理人无需再出具资金划拨指令。若遇法定节假日、休息日等，支付日期顺延。费用自动扣划后，</w:t>
      </w:r>
      <w:r w:rsidR="00B54885">
        <w:rPr>
          <w:rFonts w:ascii="宋体" w:hAnsi="宋体" w:cs="宋体" w:hint="eastAsia"/>
          <w:kern w:val="0"/>
          <w:sz w:val="24"/>
          <w:szCs w:val="24"/>
        </w:rPr>
        <w:t>基金</w:t>
      </w:r>
      <w:r>
        <w:rPr>
          <w:rFonts w:ascii="宋体" w:hAnsi="宋体" w:cs="宋体"/>
          <w:kern w:val="0"/>
          <w:sz w:val="24"/>
          <w:szCs w:val="24"/>
        </w:rPr>
        <w:t>管理人应进行核对，如发现数据不符，及</w:t>
      </w:r>
      <w:r>
        <w:rPr>
          <w:rFonts w:ascii="宋体" w:hAnsi="宋体" w:cs="宋体"/>
          <w:kern w:val="0"/>
          <w:sz w:val="24"/>
          <w:szCs w:val="24"/>
        </w:rPr>
        <w:lastRenderedPageBreak/>
        <w:t>时联系</w:t>
      </w:r>
      <w:r w:rsidR="00B54885">
        <w:rPr>
          <w:rFonts w:ascii="宋体" w:hAnsi="宋体" w:cs="宋体" w:hint="eastAsia"/>
          <w:kern w:val="0"/>
          <w:sz w:val="24"/>
          <w:szCs w:val="24"/>
        </w:rPr>
        <w:t>基金</w:t>
      </w:r>
      <w:r>
        <w:rPr>
          <w:rFonts w:ascii="宋体" w:hAnsi="宋体" w:cs="宋体"/>
          <w:kern w:val="0"/>
          <w:sz w:val="24"/>
          <w:szCs w:val="24"/>
        </w:rPr>
        <w:t>托管人协商解决。</w:t>
      </w:r>
    </w:p>
    <w:p w14:paraId="6ADBA7B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2、基金托管人的托管费</w:t>
      </w:r>
    </w:p>
    <w:p w14:paraId="07BEF1F4"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本基金的托管费按前一日基金资产净值的0.15%的年费率计提。托管费的计算方法如下：</w:t>
      </w:r>
    </w:p>
    <w:p w14:paraId="4354CD8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H＝E×0.15%÷当年天数</w:t>
      </w:r>
    </w:p>
    <w:p w14:paraId="275D43C8"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H为每日应计提的基金托管费</w:t>
      </w:r>
    </w:p>
    <w:p w14:paraId="3FFE08A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E为前一日的基金资产净值</w:t>
      </w:r>
    </w:p>
    <w:p w14:paraId="0F9FB77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托管费每日计提，逐日累计至每月月末，按月支付，经基金管理人与基金托管人双方核对无误后，自动在次月初五个工作日内、按照指定的账户路径进行资金支付，基金管理人无需再出具资金划拨指令。若遇法定节假日、休息日等，支付日期顺延。费用自动扣划后，</w:t>
      </w:r>
      <w:r w:rsidR="00B54885">
        <w:rPr>
          <w:rFonts w:ascii="宋体" w:hAnsi="宋体" w:cs="宋体" w:hint="eastAsia"/>
          <w:kern w:val="0"/>
          <w:sz w:val="24"/>
          <w:szCs w:val="24"/>
        </w:rPr>
        <w:t>基金</w:t>
      </w:r>
      <w:r>
        <w:rPr>
          <w:rFonts w:ascii="宋体" w:hAnsi="宋体" w:cs="宋体"/>
          <w:kern w:val="0"/>
          <w:sz w:val="24"/>
          <w:szCs w:val="24"/>
        </w:rPr>
        <w:t>管理人应进行核对，如发现数据不符，及时联系</w:t>
      </w:r>
      <w:r w:rsidR="00B54885">
        <w:rPr>
          <w:rFonts w:ascii="宋体" w:hAnsi="宋体" w:cs="宋体" w:hint="eastAsia"/>
          <w:kern w:val="0"/>
          <w:sz w:val="24"/>
          <w:szCs w:val="24"/>
        </w:rPr>
        <w:t>基金</w:t>
      </w:r>
      <w:r>
        <w:rPr>
          <w:rFonts w:ascii="宋体" w:hAnsi="宋体" w:cs="宋体"/>
          <w:kern w:val="0"/>
          <w:sz w:val="24"/>
          <w:szCs w:val="24"/>
        </w:rPr>
        <w:t>托管人协商解决。</w:t>
      </w:r>
    </w:p>
    <w:p w14:paraId="7D4DB87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3、销售服务费</w:t>
      </w:r>
    </w:p>
    <w:p w14:paraId="29AB0A45" w14:textId="77119004"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本基金A类基金份额不收取销售服务费，C类基金份额的销售服务费年费率为0.</w:t>
      </w:r>
      <w:r w:rsidR="00736C1C">
        <w:rPr>
          <w:rFonts w:ascii="宋体" w:hAnsi="宋体" w:cs="宋体"/>
          <w:kern w:val="0"/>
          <w:sz w:val="24"/>
          <w:szCs w:val="24"/>
        </w:rPr>
        <w:t>20</w:t>
      </w:r>
      <w:r>
        <w:rPr>
          <w:rFonts w:ascii="宋体" w:hAnsi="宋体" w:cs="宋体"/>
          <w:kern w:val="0"/>
          <w:sz w:val="24"/>
          <w:szCs w:val="24"/>
        </w:rPr>
        <w:t>%。</w:t>
      </w:r>
    </w:p>
    <w:p w14:paraId="21B5CCE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计算方法如下：</w:t>
      </w:r>
    </w:p>
    <w:p w14:paraId="5682EA4C" w14:textId="1A486AF1" w:rsidR="000A052A" w:rsidRDefault="009713AD">
      <w:pPr>
        <w:spacing w:line="360" w:lineRule="auto"/>
        <w:ind w:firstLine="480"/>
        <w:rPr>
          <w:rFonts w:eastAsia="Times New Roman"/>
          <w:kern w:val="0"/>
          <w:sz w:val="24"/>
          <w:szCs w:val="24"/>
        </w:rPr>
      </w:pPr>
      <w:r>
        <w:rPr>
          <w:rFonts w:ascii="宋体" w:hAnsi="宋体" w:cs="宋体"/>
          <w:kern w:val="0"/>
          <w:sz w:val="24"/>
          <w:szCs w:val="24"/>
        </w:rPr>
        <w:t>H＝E×0.</w:t>
      </w:r>
      <w:r w:rsidR="00736C1C">
        <w:rPr>
          <w:rFonts w:ascii="宋体" w:hAnsi="宋体" w:cs="宋体"/>
          <w:kern w:val="0"/>
          <w:sz w:val="24"/>
          <w:szCs w:val="24"/>
        </w:rPr>
        <w:t>20</w:t>
      </w:r>
      <w:r>
        <w:rPr>
          <w:rFonts w:ascii="宋体" w:hAnsi="宋体" w:cs="宋体"/>
          <w:kern w:val="0"/>
          <w:sz w:val="24"/>
          <w:szCs w:val="24"/>
        </w:rPr>
        <w:t>%÷当年天数</w:t>
      </w:r>
    </w:p>
    <w:p w14:paraId="776355C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H为C类基金份额每日应计提的销售服务费</w:t>
      </w:r>
    </w:p>
    <w:p w14:paraId="38DE89E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E为C类基金份额前一日基金资产净值</w:t>
      </w:r>
    </w:p>
    <w:p w14:paraId="4C5D8896" w14:textId="56212625" w:rsidR="000A052A" w:rsidRDefault="009713AD">
      <w:pPr>
        <w:spacing w:line="360" w:lineRule="auto"/>
        <w:ind w:firstLine="480"/>
        <w:rPr>
          <w:rFonts w:ascii="宋体" w:hAnsi="宋体" w:cs="宋体"/>
          <w:kern w:val="0"/>
          <w:sz w:val="24"/>
          <w:szCs w:val="24"/>
        </w:rPr>
      </w:pPr>
      <w:r>
        <w:rPr>
          <w:rFonts w:ascii="宋体" w:hAnsi="宋体" w:cs="宋体"/>
          <w:kern w:val="0"/>
          <w:sz w:val="24"/>
          <w:szCs w:val="24"/>
        </w:rPr>
        <w:t>销售服务费每日计提，逐日累计至每月月末，按月支付</w:t>
      </w:r>
      <w:r w:rsidR="00736C1C">
        <w:rPr>
          <w:rStyle w:val="custom"/>
          <w:rFonts w:ascii="宋体" w:hAnsi="宋体" w:cs="宋体" w:hint="eastAsia"/>
          <w:kern w:val="0"/>
          <w:sz w:val="24"/>
          <w:szCs w:val="24"/>
        </w:rPr>
        <w:t>。</w:t>
      </w:r>
      <w:r w:rsidR="00736C1C">
        <w:rPr>
          <w:rFonts w:hint="eastAsia"/>
          <w:bCs/>
          <w:sz w:val="24"/>
        </w:rPr>
        <w:t>对于确认为基金财产支付的销售服务费</w:t>
      </w:r>
      <w:r>
        <w:rPr>
          <w:rFonts w:ascii="宋体" w:hAnsi="宋体" w:cs="宋体"/>
          <w:kern w:val="0"/>
          <w:sz w:val="24"/>
          <w:szCs w:val="24"/>
        </w:rPr>
        <w:t>，经基金管理人与基金托管人双方核对无误后，自动在次月初五个工作日内、按照指定的账户路径进行资金支付，基金管理人无需再出具资金划拨指令。若遇法定节假日、休息日等，支付日期顺延。费用自动扣划后，</w:t>
      </w:r>
      <w:r w:rsidR="00EE12C1">
        <w:rPr>
          <w:rFonts w:ascii="宋体" w:hAnsi="宋体" w:cs="宋体" w:hint="eastAsia"/>
          <w:kern w:val="0"/>
          <w:sz w:val="24"/>
          <w:szCs w:val="24"/>
        </w:rPr>
        <w:t>基金</w:t>
      </w:r>
      <w:r>
        <w:rPr>
          <w:rFonts w:ascii="宋体" w:hAnsi="宋体" w:cs="宋体"/>
          <w:kern w:val="0"/>
          <w:sz w:val="24"/>
          <w:szCs w:val="24"/>
        </w:rPr>
        <w:t>管理人应进行核对，如发现数据不符，及时联系</w:t>
      </w:r>
      <w:r w:rsidR="00EE12C1">
        <w:rPr>
          <w:rFonts w:ascii="宋体" w:hAnsi="宋体" w:cs="宋体" w:hint="eastAsia"/>
          <w:kern w:val="0"/>
          <w:sz w:val="24"/>
          <w:szCs w:val="24"/>
        </w:rPr>
        <w:t>基金</w:t>
      </w:r>
      <w:r>
        <w:rPr>
          <w:rFonts w:ascii="宋体" w:hAnsi="宋体" w:cs="宋体"/>
          <w:kern w:val="0"/>
          <w:sz w:val="24"/>
          <w:szCs w:val="24"/>
        </w:rPr>
        <w:t>托管人协商解决。</w:t>
      </w:r>
    </w:p>
    <w:p w14:paraId="50C12D23" w14:textId="1723C46E" w:rsidR="00736C1C" w:rsidRDefault="00736C1C">
      <w:pPr>
        <w:spacing w:line="360" w:lineRule="auto"/>
        <w:ind w:firstLine="480"/>
        <w:rPr>
          <w:rFonts w:eastAsia="Times New Roman"/>
          <w:kern w:val="0"/>
          <w:sz w:val="24"/>
          <w:szCs w:val="24"/>
        </w:rPr>
      </w:pPr>
      <w:r>
        <w:rPr>
          <w:rFonts w:hint="eastAsia"/>
          <w:bCs/>
          <w:sz w:val="24"/>
        </w:rPr>
        <w:t>其中，对于投资者通过直销机构认购</w:t>
      </w:r>
      <w:r>
        <w:rPr>
          <w:bCs/>
          <w:sz w:val="24"/>
        </w:rPr>
        <w:t>/</w:t>
      </w:r>
      <w:r>
        <w:rPr>
          <w:rFonts w:hint="eastAsia"/>
          <w:bCs/>
          <w:sz w:val="24"/>
        </w:rPr>
        <w:t>申购的</w:t>
      </w:r>
      <w:r>
        <w:rPr>
          <w:rFonts w:hint="eastAsia"/>
          <w:bCs/>
          <w:sz w:val="24"/>
        </w:rPr>
        <w:t>C</w:t>
      </w:r>
      <w:r>
        <w:rPr>
          <w:rFonts w:hint="eastAsia"/>
          <w:bCs/>
          <w:sz w:val="24"/>
        </w:rPr>
        <w:t>类基金份额所计提的销售服务费或者通过其他销售机构认购</w:t>
      </w:r>
      <w:r>
        <w:rPr>
          <w:bCs/>
          <w:sz w:val="24"/>
        </w:rPr>
        <w:t>/</w:t>
      </w:r>
      <w:r>
        <w:rPr>
          <w:rFonts w:hint="eastAsia"/>
          <w:bCs/>
          <w:sz w:val="24"/>
        </w:rPr>
        <w:t>申购且持续持有期限超过一年（即</w:t>
      </w:r>
      <w:r>
        <w:rPr>
          <w:rFonts w:hint="eastAsia"/>
          <w:bCs/>
          <w:sz w:val="24"/>
        </w:rPr>
        <w:t>3</w:t>
      </w:r>
      <w:r>
        <w:rPr>
          <w:bCs/>
          <w:sz w:val="24"/>
        </w:rPr>
        <w:t>65</w:t>
      </w:r>
      <w:r>
        <w:rPr>
          <w:rFonts w:hint="eastAsia"/>
          <w:bCs/>
          <w:sz w:val="24"/>
        </w:rPr>
        <w:t>天）</w:t>
      </w:r>
      <w:r>
        <w:rPr>
          <w:rFonts w:hint="eastAsia"/>
          <w:bCs/>
          <w:sz w:val="24"/>
          <w:lang w:bidi="en-US"/>
        </w:rPr>
        <w:t>以后继续计提</w:t>
      </w:r>
      <w:r>
        <w:rPr>
          <w:rFonts w:hint="eastAsia"/>
          <w:bCs/>
          <w:sz w:val="24"/>
        </w:rPr>
        <w:t>的</w:t>
      </w:r>
      <w:r>
        <w:rPr>
          <w:bCs/>
          <w:sz w:val="24"/>
        </w:rPr>
        <w:t>C</w:t>
      </w:r>
      <w:r>
        <w:rPr>
          <w:rFonts w:hint="eastAsia"/>
          <w:bCs/>
          <w:sz w:val="24"/>
        </w:rPr>
        <w:t>类基金份额销售服务费，将在投资者赎回相应基金份额或基金合同终止时随赎回款或清算款一并返还给投资者。</w:t>
      </w:r>
    </w:p>
    <w:p w14:paraId="3B4DAD4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上述“</w:t>
      </w:r>
      <w:r w:rsidR="0006627D">
        <w:rPr>
          <w:rFonts w:ascii="宋体" w:hAnsi="宋体" w:cs="宋体" w:hint="eastAsia"/>
          <w:kern w:val="0"/>
          <w:sz w:val="24"/>
          <w:szCs w:val="24"/>
        </w:rPr>
        <w:t>（</w:t>
      </w:r>
      <w:r w:rsidR="0006627D">
        <w:rPr>
          <w:rFonts w:ascii="宋体" w:hAnsi="宋体" w:cs="宋体"/>
          <w:kern w:val="0"/>
          <w:sz w:val="24"/>
          <w:szCs w:val="24"/>
        </w:rPr>
        <w:t>一</w:t>
      </w:r>
      <w:r w:rsidR="0006627D">
        <w:rPr>
          <w:rFonts w:ascii="宋体" w:hAnsi="宋体" w:cs="宋体" w:hint="eastAsia"/>
          <w:kern w:val="0"/>
          <w:sz w:val="24"/>
          <w:szCs w:val="24"/>
        </w:rPr>
        <w:t>）</w:t>
      </w:r>
      <w:r>
        <w:rPr>
          <w:rFonts w:ascii="宋体" w:hAnsi="宋体" w:cs="宋体"/>
          <w:kern w:val="0"/>
          <w:sz w:val="24"/>
          <w:szCs w:val="24"/>
        </w:rPr>
        <w:t>基金费用的种类”中第4－11项费用，根据有关法规及相应协</w:t>
      </w:r>
      <w:r>
        <w:rPr>
          <w:rFonts w:ascii="宋体" w:hAnsi="宋体" w:cs="宋体"/>
          <w:kern w:val="0"/>
          <w:sz w:val="24"/>
          <w:szCs w:val="24"/>
        </w:rPr>
        <w:lastRenderedPageBreak/>
        <w:t>议规定，按费用实际支出金额列入当期费用，由基金托管人从基金财产中支付。</w:t>
      </w:r>
    </w:p>
    <w:p w14:paraId="2DFD148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（三）不列入基金费用的项目</w:t>
      </w:r>
    </w:p>
    <w:p w14:paraId="610A089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下列费用不列入基金费用：</w:t>
      </w:r>
    </w:p>
    <w:p w14:paraId="58F8588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1、基金管理人和基金托管人因未履行或未完全履行义务导致的费用支出或基金财产的损失；</w:t>
      </w:r>
    </w:p>
    <w:p w14:paraId="4A6829E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2、基金管理人和基金托管人处理与基金运作无关的事项发生的费用；</w:t>
      </w:r>
    </w:p>
    <w:p w14:paraId="191D338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3、《基金合同》生效前的相关费用；</w:t>
      </w:r>
    </w:p>
    <w:p w14:paraId="104D9D81"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4、基金的指数许可使用费（该费用由基金管理人承担）；</w:t>
      </w:r>
    </w:p>
    <w:p w14:paraId="0CA015D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5、其他根据相关法律法规及中国证监会的有关规定不得列入基金费用的项目。</w:t>
      </w:r>
    </w:p>
    <w:p w14:paraId="7472808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（四）实施侧袋机制期间的基金费用</w:t>
      </w:r>
    </w:p>
    <w:p w14:paraId="67B9369F"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本基金实施侧袋机制的，与侧袋账户有关的费用可以从侧袋账户中列支，但应待侧袋账户资产变现后方可列支，有关费用可酌情收取或减免，但不得收取管理费，详见招募说明书的规定。</w:t>
      </w:r>
    </w:p>
    <w:p w14:paraId="4771568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（五）基金税收</w:t>
      </w:r>
    </w:p>
    <w:p w14:paraId="6211D1BC"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60A7FED3"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五、基金财产的投资范围和投资限制</w:t>
      </w:r>
    </w:p>
    <w:p w14:paraId="27E7C33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（一）投资范围</w:t>
      </w:r>
    </w:p>
    <w:p w14:paraId="0138D14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的投资范围为具有良好流动性的金融工具，包括国内依法发行上市的股票（含主板、科创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但须符合中国证监会相关规定)。</w:t>
      </w:r>
    </w:p>
    <w:p w14:paraId="7BC232E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本基金还可根据法律法规参与融资及转融通证券出借业务。</w:t>
      </w:r>
    </w:p>
    <w:p w14:paraId="642820D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lastRenderedPageBreak/>
        <w:t>如法律法规或监管机构以后允许基金投资其他品种，基金管理人在履行适当程序后，可以将其纳入投资范围。</w:t>
      </w:r>
    </w:p>
    <w:p w14:paraId="7280916C"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的投资组合比例为：本基金投资于股票的资产不低于基金资产的80%，投资于标的指数成份股及其备选成份股的比例不低于非现金基金资产的80%。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p>
    <w:p w14:paraId="4957DAB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14:paraId="4A6E695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（二）投资限制</w:t>
      </w:r>
    </w:p>
    <w:p w14:paraId="08CBCD5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1、组合限制</w:t>
      </w:r>
    </w:p>
    <w:p w14:paraId="0D90D521"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基金的投资组合应遵循以下限制：</w:t>
      </w:r>
    </w:p>
    <w:p w14:paraId="084CFCA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（1）本基金投资于股票的资产不低于基金资产的80%，投资于标的指数成份股及其备选成份股的比例不低于非现金基金资产的80%；其中，投资于港股通标的股票的比例不超过股票资产的50%；</w:t>
      </w:r>
    </w:p>
    <w:p w14:paraId="0C8545D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其中现金不包括结算备付金、存出保证金和应收申购款等；</w:t>
      </w:r>
    </w:p>
    <w:p w14:paraId="6FD54BA1"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（3）本基金持有一家公司发行的证券（同一家公司在内地和香港同时上市的A+H股合并计算），其市值不超过基金资产净值的10％，完全按照有关指数的构成比例进行证券投资的部分不受此限制；</w:t>
      </w:r>
    </w:p>
    <w:p w14:paraId="64C3495C"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（4）本基金管理人管理的全部基金持有一家公司发行的证券（同一家公司在内地和香港同时上市的A+H股合并计算），不超过该证券的10％，完全按照有关指数的构成比例进行证券投资的部分不受此限制；</w:t>
      </w:r>
    </w:p>
    <w:p w14:paraId="32E2419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（5）本基金投资于同一原始权益人的各类资产支持证券的比例，不得超过基金资产净值的10%；</w:t>
      </w:r>
    </w:p>
    <w:p w14:paraId="2CFAF84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（6）本基金持有的全部资产支持证券，其市值不得超过基金资产净值的20%；</w:t>
      </w:r>
    </w:p>
    <w:p w14:paraId="33146F8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lastRenderedPageBreak/>
        <w:t>（7）本基金持有的同一(指同一信用级别)资产支持证券的比例，不得超过该资产支持证券规模的10%；</w:t>
      </w:r>
    </w:p>
    <w:p w14:paraId="32074172"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（8）本基金管理人管理的全部基金投资于同一原始权益人的各类资产支持证券，不得超过其各类资产支持证券合计规模的10%；</w:t>
      </w:r>
    </w:p>
    <w:p w14:paraId="5B667D1E"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（9）本基金应投资于信用级别评级为BBB以上(含BBB)的资产支持证券。基金持有资产支持证券期间，如果其信用等级下降、不再符合投资标准，应在评级报告发布之日起3个月内予以全部卖出；</w:t>
      </w:r>
    </w:p>
    <w:p w14:paraId="05DAC56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（10）基金财产参与股票发行申购，本基金所申报的金额不超过本基金的总资产，本基金所申报的股票数量不超过拟发行股票公司本次发行股票的总量；</w:t>
      </w:r>
    </w:p>
    <w:p w14:paraId="34D41AFF"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部分不受此限制；</w:t>
      </w:r>
    </w:p>
    <w:p w14:paraId="481C77E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12）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0731063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（13）本基金与私募类证券资管产品及中国证监会认定的其他主体为交易对手开展逆回购交易的，可接受质押品的资质要求应当与本基金合同约定的投资范围保持一致；</w:t>
      </w:r>
    </w:p>
    <w:p w14:paraId="7EC8BE1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（14）本基金资产总值不超过基金资产净值的140%；</w:t>
      </w:r>
    </w:p>
    <w:p w14:paraId="7630EB64"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（15）本基金参与股指期货和国债期货交易的，应当遵守下列要求：</w:t>
      </w:r>
    </w:p>
    <w:p w14:paraId="4DC34B5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582E5E1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w:t>
      </w:r>
      <w:r>
        <w:rPr>
          <w:rFonts w:ascii="宋体" w:hAnsi="宋体" w:cs="宋体"/>
          <w:kern w:val="0"/>
          <w:sz w:val="24"/>
          <w:szCs w:val="24"/>
        </w:rPr>
        <w:lastRenderedPageBreak/>
        <w:t>指期货合约的成交金额不得超过上一交易日基金资产净值的20%；本基金所持有的股票市值和买入、卖出股指期货合约价值，合计（轧差计算）应当符合《基金合同》关于股票投资比例的有关约定；</w:t>
      </w:r>
    </w:p>
    <w:p w14:paraId="05DC5A2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717B035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16）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173C593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（17）本基金参与融资的，每个交易日日终，本基金持有的融资买入股票与其他有价证券市值之和，不得超过基金资产净值的95%；</w:t>
      </w:r>
    </w:p>
    <w:p w14:paraId="0137F57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18）本基金参与转融通证券出借业务的，应当符合下列要求：最近6个月内日均基金资产净值不得低于2亿元；参与转融通证券出借业务的资产不得超过基金资产净值的30%，其中出借期限在10个交易日以上的出借证券归为流动性受限资产；参与转融通证券出借业务的单只证券不得超过基金持有该证券总量的50%；证券出借的平均剩余期限不得超过30天，平均剩余期限按照市值加权平均计算；</w:t>
      </w:r>
    </w:p>
    <w:p w14:paraId="5AD19A12"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（19）本基金投资存托凭证的比例限制依照境内上市交易的股票执行；</w:t>
      </w:r>
    </w:p>
    <w:p w14:paraId="3610805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（20）法律法规及中国证监会规定的和《基金合同》约定的其他投资限制。</w:t>
      </w:r>
    </w:p>
    <w:p w14:paraId="3217E90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除上述第（2）、（9）、（12）、（13）、（18）项情形之外，因证券/期货市场波动、证券发行人合并、标的指数成份股调整、标的指数成份股流动性限制、基金规模变动等基金管理人之外的因素致使基金投资比例不符合上述规定投资比例的，基金管理人应当在10个交易日内进行调整，但中国证监会规定</w:t>
      </w:r>
      <w:r>
        <w:rPr>
          <w:rFonts w:ascii="宋体" w:hAnsi="宋体" w:cs="宋体"/>
          <w:kern w:val="0"/>
          <w:sz w:val="24"/>
          <w:szCs w:val="24"/>
        </w:rPr>
        <w:lastRenderedPageBreak/>
        <w:t>的特殊情形除外。因证券市场波动、证券发行人合并、基金规模变动等基金管理人之外的因素致使基金投资不符合第（18）项规定的，基金管理人不得新增出借业务。法律法规另有规定的从其规定。</w:t>
      </w:r>
    </w:p>
    <w:p w14:paraId="5A52F16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3B03EA0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20365182"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2、禁止行为</w:t>
      </w:r>
    </w:p>
    <w:p w14:paraId="5EE1B3D4"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14:paraId="13BCB06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（1）承销证券；</w:t>
      </w:r>
    </w:p>
    <w:p w14:paraId="48C8E1F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（2）违反规定向他人贷款或者提供担保；</w:t>
      </w:r>
    </w:p>
    <w:p w14:paraId="5D92C76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（3）从事承担无限责任的投资；</w:t>
      </w:r>
    </w:p>
    <w:p w14:paraId="62F8BD7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（4）买卖其他基金份额，但是法律法规或中国证监会另有规定的除外；</w:t>
      </w:r>
    </w:p>
    <w:p w14:paraId="7B89728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（5）向其基金管理人、基金托管人出资；</w:t>
      </w:r>
    </w:p>
    <w:p w14:paraId="62FB2E8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（6）从事内幕交易、操纵证券交易价格及其他不正当的证券交易活动；</w:t>
      </w:r>
    </w:p>
    <w:p w14:paraId="5936007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（7）法律、行政法规和中国证监会规定禁止的其他活动。</w:t>
      </w:r>
    </w:p>
    <w:p w14:paraId="07BD7B6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其他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B33D68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5EBA47D8"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六、基金资产净值的计算方法和公告方式</w:t>
      </w:r>
    </w:p>
    <w:p w14:paraId="2B630FE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（一）估值方法</w:t>
      </w:r>
    </w:p>
    <w:p w14:paraId="1265A9A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lastRenderedPageBreak/>
        <w:t>1、证券交易所上市的有价证券的估值</w:t>
      </w:r>
    </w:p>
    <w:p w14:paraId="6129F688"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1E3A63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356C2130"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（3）交易所上市不存在活跃市场的有价证券，采用估值技术确定公允价值。</w:t>
      </w:r>
    </w:p>
    <w:p w14:paraId="1041F16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2、处于未上市期间的有价证券应区分如下情况处理：</w:t>
      </w:r>
    </w:p>
    <w:p w14:paraId="4CD7A4E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07DE4EF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（2）首次公开发行未上市的股票，采用估值技术确定公允价值，在估值技术难以可靠计量公允价值的情况下，按成本估值；</w:t>
      </w:r>
    </w:p>
    <w:p w14:paraId="76884F24"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66510A1E"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3、以公允价值计量的固定收益品种</w:t>
      </w:r>
    </w:p>
    <w:p w14:paraId="4DFE0C6C"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（1）对于已上市或已挂牌转让的不含权固定收益品种，选取第三方估值基准服务机构提供的相应品种当日的估值全价；</w:t>
      </w:r>
    </w:p>
    <w:p w14:paraId="262F57D0"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（2）对于已上市或已挂牌转让的含权固定收益品种，选取第三方估值基准服务机构提供的相应品种当日的唯一估值全价或推荐估值全价；</w:t>
      </w:r>
    </w:p>
    <w:p w14:paraId="01489278"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w:t>
      </w:r>
      <w:r>
        <w:rPr>
          <w:rFonts w:ascii="宋体" w:hAnsi="宋体" w:cs="宋体"/>
          <w:kern w:val="0"/>
          <w:sz w:val="24"/>
          <w:szCs w:val="24"/>
        </w:rPr>
        <w:lastRenderedPageBreak/>
        <w:t>估值；</w:t>
      </w:r>
    </w:p>
    <w:p w14:paraId="5827B92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（4）对于未上市或未挂牌转让且不存在活跃市场的固定收益品种，应采用在当前情况下适用并且有足够可利用数据和其他信息支持的估值技术确定其公允价值。</w:t>
      </w:r>
    </w:p>
    <w:p w14:paraId="06F6991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4、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3D5B9B5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5、同一证券同时在两个或两个以上市场交易的，按证券所处的市场分别估值。</w:t>
      </w:r>
    </w:p>
    <w:p w14:paraId="7E64055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5E2EC508"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7、本基金投资股票期权，根据相关法律法规以及监管部门的规定估值。</w:t>
      </w:r>
    </w:p>
    <w:p w14:paraId="4349B4AC"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8、本基金投资国债期货合约，一般以国债期货估值日的结算价进行估值，估值当日无结算价的，且最近交易日后经济环境未发生重大变化的，采用最近交易日结算价估值。</w:t>
      </w:r>
    </w:p>
    <w:p w14:paraId="7DA5127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9、估值计算中涉及港币或其他外币币种对人民币汇率的，将依据下列信息提供机构所提供的汇率为基准：当日中国人民银行或其授权机构公布的人民币汇率的中间价，或其他可以反映公允价值的汇率进行估值。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40C2FD62"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137F667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10、本基金参与融资和转融通证券出借业务的，按照相关法律法规和行业协会的相关规定进行估值。</w:t>
      </w:r>
    </w:p>
    <w:p w14:paraId="198A3F6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11、本基金投资存托凭证的估值核算，依照境内上市交易的股票进行。</w:t>
      </w:r>
    </w:p>
    <w:p w14:paraId="67AFA61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lastRenderedPageBreak/>
        <w:t>12、如有确凿证据表明按上述方法进行估值不能客观反映其公允价值的，基金管理人可根据具体情况与基金托管人商定后，按最能反映公允价值的价格估值。</w:t>
      </w:r>
    </w:p>
    <w:p w14:paraId="58839F5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13、当发生大额申购或赎回情形时，基金管理人可以采用摆动定价机制，以确保基金估值的公平性。</w:t>
      </w:r>
    </w:p>
    <w:p w14:paraId="4C8598E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14、相关法律法规以及监管部门有强制规定的，从其规定。如有新增事项，按国家最新规定估值。</w:t>
      </w:r>
    </w:p>
    <w:p w14:paraId="3C481297"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33FDEC92"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2F695BF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（二）估值程序</w:t>
      </w:r>
    </w:p>
    <w:p w14:paraId="77FA75D6"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1、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5E8781C9"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基金管理人每个估值日计算基金资产净值及各类基金份额净值，并按规定公告。</w:t>
      </w:r>
    </w:p>
    <w:p w14:paraId="0F8ADD5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2、基金管理人应每个估值日对基金资产估值。但基金管理人根据法律法规或本基金合同的规定暂停估值时除外。基金管理人每个估值日对基金资产估值后，将各类基金份额净值结果发送基金托管人，经基金托管人复核无误后，由基金管理人按约定对外公布。</w:t>
      </w:r>
    </w:p>
    <w:p w14:paraId="5D5A9DA9"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七、基金合同解除和终止的事由、程序以及基金财产清算方式</w:t>
      </w:r>
    </w:p>
    <w:p w14:paraId="785F3FA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（一）《基金合同》的变更</w:t>
      </w:r>
    </w:p>
    <w:p w14:paraId="791A9D2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w:t>
      </w:r>
      <w:r>
        <w:rPr>
          <w:rFonts w:ascii="宋体" w:hAnsi="宋体" w:cs="宋体"/>
          <w:kern w:val="0"/>
          <w:sz w:val="24"/>
          <w:szCs w:val="24"/>
        </w:rPr>
        <w:lastRenderedPageBreak/>
        <w:t>人和基金托管人同意后变更并公告。</w:t>
      </w:r>
    </w:p>
    <w:p w14:paraId="0D0C8C36"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2、关于《基金合同》变更的基金份额持有人大会决议自生效后方可执行，自决议生效后两日内在规定媒介公告。</w:t>
      </w:r>
    </w:p>
    <w:p w14:paraId="356BA465"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（二）《基金合同》的终止事由</w:t>
      </w:r>
    </w:p>
    <w:p w14:paraId="7D8E9A0B"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有下列情形之一的，经履行相关程序后，《基金合同》应当终止：</w:t>
      </w:r>
    </w:p>
    <w:p w14:paraId="62B892A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1、基金份额持有人大会决定终止的；</w:t>
      </w:r>
    </w:p>
    <w:p w14:paraId="5DDEF7D8"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2、基金管理人、基金托管人职责终止，在6个月内没有新基金管理人、新基金托管人承接的；</w:t>
      </w:r>
    </w:p>
    <w:p w14:paraId="4DD6F7E1"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4AF0477B"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4、《基金合同》约定的其他情形；</w:t>
      </w:r>
    </w:p>
    <w:p w14:paraId="7EF3243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5、相关法律法规和中国证监会规定的其他情况。</w:t>
      </w:r>
    </w:p>
    <w:p w14:paraId="50C1D08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（三）基金财产的清算</w:t>
      </w:r>
    </w:p>
    <w:p w14:paraId="36690CC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1、基金财产清算小组：自出现《基金合同》终止事由之日起30个工作日内成立清算小组，基金管理人组织基金财产清算小组并在中国证监会的监督下进行基金清算。</w:t>
      </w:r>
    </w:p>
    <w:p w14:paraId="771C0A4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09C42E47"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3、基金财产清算小组职责：基金财产清算小组负责基金财产的保管、清理、估价、变现和分配。基金财产清算小组可以依法进行必要的民事活动。</w:t>
      </w:r>
    </w:p>
    <w:p w14:paraId="4630087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4、基金财产清算程序：</w:t>
      </w:r>
    </w:p>
    <w:p w14:paraId="3BC1EA0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（1）《基金合同》终止情形出现时，由基金财产清算小组统一接管基金；</w:t>
      </w:r>
    </w:p>
    <w:p w14:paraId="193B700D"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（2）对基金财产和债权债务进行清理和确认；</w:t>
      </w:r>
    </w:p>
    <w:p w14:paraId="184658F9"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（3）对基金财产进行估值和变现；</w:t>
      </w:r>
    </w:p>
    <w:p w14:paraId="5DD00F6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（4）制作清算报告；</w:t>
      </w:r>
    </w:p>
    <w:p w14:paraId="11EC2FE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（5）聘请符合《中华人民共和国证券法》规定的会计师事务所对清算报告</w:t>
      </w:r>
      <w:r>
        <w:rPr>
          <w:rFonts w:ascii="宋体" w:hAnsi="宋体" w:cs="宋体"/>
          <w:kern w:val="0"/>
          <w:sz w:val="24"/>
          <w:szCs w:val="24"/>
        </w:rPr>
        <w:lastRenderedPageBreak/>
        <w:t>进行外部审计，聘请律师事务所对清算报告出具法律意见书；</w:t>
      </w:r>
    </w:p>
    <w:p w14:paraId="2CF55A1A"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（6）将清算报告报中国证监会备案并公告；</w:t>
      </w:r>
    </w:p>
    <w:p w14:paraId="5B8E53F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（7）对基金剩余财产进行分配。</w:t>
      </w:r>
    </w:p>
    <w:p w14:paraId="7E38E1C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5、基金财产清算的期限为6个月，但因本基金所持证券的流动性受到限制而不能及时变现的，清算期限相应顺延。</w:t>
      </w:r>
    </w:p>
    <w:p w14:paraId="6739A8F0"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（四）清算费用</w:t>
      </w:r>
    </w:p>
    <w:p w14:paraId="2A12FAE5"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352FF8C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（五）基金财产清算剩余资产的分配</w:t>
      </w:r>
    </w:p>
    <w:p w14:paraId="0C6714F4" w14:textId="384FA807" w:rsidR="000A052A" w:rsidRDefault="009713AD">
      <w:pPr>
        <w:spacing w:line="360" w:lineRule="auto"/>
        <w:ind w:firstLine="48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p>
    <w:p w14:paraId="62EDDC06" w14:textId="48004C9D" w:rsidR="00736C1C" w:rsidRDefault="00736C1C">
      <w:pPr>
        <w:spacing w:line="360" w:lineRule="auto"/>
        <w:ind w:firstLine="480"/>
        <w:rPr>
          <w:rFonts w:eastAsia="Times New Roman"/>
          <w:kern w:val="0"/>
          <w:sz w:val="24"/>
          <w:szCs w:val="24"/>
        </w:rPr>
      </w:pPr>
      <w:r w:rsidRPr="00767C2D">
        <w:rPr>
          <w:rFonts w:eastAsiaTheme="minorEastAsia" w:hint="eastAsia"/>
          <w:kern w:val="0"/>
          <w:sz w:val="24"/>
          <w:szCs w:val="24"/>
        </w:rPr>
        <w:t>其中，对于投资者通过直销机构认购</w:t>
      </w:r>
      <w:r w:rsidRPr="00767C2D">
        <w:rPr>
          <w:rFonts w:eastAsiaTheme="minorEastAsia" w:hint="eastAsia"/>
          <w:kern w:val="0"/>
          <w:sz w:val="24"/>
          <w:szCs w:val="24"/>
        </w:rPr>
        <w:t>/</w:t>
      </w:r>
      <w:r w:rsidRPr="00767C2D">
        <w:rPr>
          <w:rFonts w:eastAsiaTheme="minorEastAsia" w:hint="eastAsia"/>
          <w:kern w:val="0"/>
          <w:sz w:val="24"/>
          <w:szCs w:val="24"/>
        </w:rPr>
        <w:t>申购的</w:t>
      </w:r>
      <w:bookmarkStart w:id="71" w:name="_Hlk218689035"/>
      <w:r>
        <w:rPr>
          <w:rFonts w:hint="eastAsia"/>
          <w:bCs/>
          <w:sz w:val="24"/>
          <w:lang w:bidi="en-US"/>
        </w:rPr>
        <w:t>C</w:t>
      </w:r>
      <w:r>
        <w:rPr>
          <w:rFonts w:hint="eastAsia"/>
          <w:bCs/>
          <w:sz w:val="24"/>
          <w:lang w:bidi="en-US"/>
        </w:rPr>
        <w:t>类基金份额所计提的销售服务费</w:t>
      </w:r>
      <w:bookmarkEnd w:id="71"/>
      <w:r w:rsidRPr="00767C2D">
        <w:rPr>
          <w:rFonts w:eastAsiaTheme="minorEastAsia" w:hint="eastAsia"/>
          <w:kern w:val="0"/>
          <w:sz w:val="24"/>
          <w:szCs w:val="24"/>
        </w:rPr>
        <w:t>或者通过其他销售机构认购</w:t>
      </w:r>
      <w:r w:rsidRPr="00767C2D">
        <w:rPr>
          <w:rFonts w:eastAsiaTheme="minorEastAsia" w:hint="eastAsia"/>
          <w:kern w:val="0"/>
          <w:sz w:val="24"/>
          <w:szCs w:val="24"/>
        </w:rPr>
        <w:t>/</w:t>
      </w:r>
      <w:r w:rsidRPr="00767C2D">
        <w:rPr>
          <w:rFonts w:eastAsiaTheme="minorEastAsia" w:hint="eastAsia"/>
          <w:kern w:val="0"/>
          <w:sz w:val="24"/>
          <w:szCs w:val="24"/>
        </w:rPr>
        <w:t>申购且持续持有期限超过一年</w:t>
      </w:r>
      <w:bookmarkStart w:id="72" w:name="_Hlk218689041"/>
      <w:r>
        <w:rPr>
          <w:rFonts w:eastAsiaTheme="minorEastAsia" w:hint="eastAsia"/>
          <w:kern w:val="0"/>
          <w:sz w:val="24"/>
          <w:szCs w:val="24"/>
        </w:rPr>
        <w:t>（即</w:t>
      </w:r>
      <w:r>
        <w:rPr>
          <w:rFonts w:eastAsiaTheme="minorEastAsia" w:hint="eastAsia"/>
          <w:kern w:val="0"/>
          <w:sz w:val="24"/>
          <w:szCs w:val="24"/>
        </w:rPr>
        <w:t>3</w:t>
      </w:r>
      <w:r>
        <w:rPr>
          <w:rFonts w:eastAsiaTheme="minorEastAsia"/>
          <w:kern w:val="0"/>
          <w:sz w:val="24"/>
          <w:szCs w:val="24"/>
        </w:rPr>
        <w:t>65</w:t>
      </w:r>
      <w:r>
        <w:rPr>
          <w:rFonts w:eastAsiaTheme="minorEastAsia" w:hint="eastAsia"/>
          <w:kern w:val="0"/>
          <w:sz w:val="24"/>
          <w:szCs w:val="24"/>
        </w:rPr>
        <w:t>天）以后继续计提</w:t>
      </w:r>
      <w:bookmarkEnd w:id="72"/>
      <w:r w:rsidRPr="00767C2D">
        <w:rPr>
          <w:rFonts w:eastAsiaTheme="minorEastAsia" w:hint="eastAsia"/>
          <w:kern w:val="0"/>
          <w:sz w:val="24"/>
          <w:szCs w:val="24"/>
        </w:rPr>
        <w:t>的</w:t>
      </w:r>
      <w:r w:rsidRPr="00767C2D">
        <w:rPr>
          <w:rFonts w:eastAsiaTheme="minorEastAsia" w:hint="eastAsia"/>
          <w:kern w:val="0"/>
          <w:sz w:val="24"/>
          <w:szCs w:val="24"/>
        </w:rPr>
        <w:t>C</w:t>
      </w:r>
      <w:r w:rsidRPr="00767C2D">
        <w:rPr>
          <w:rFonts w:eastAsiaTheme="minorEastAsia" w:hint="eastAsia"/>
          <w:kern w:val="0"/>
          <w:sz w:val="24"/>
          <w:szCs w:val="24"/>
        </w:rPr>
        <w:t>类基金份额销售服务费</w:t>
      </w:r>
      <w:r>
        <w:rPr>
          <w:rFonts w:eastAsiaTheme="minorEastAsia" w:hint="eastAsia"/>
          <w:kern w:val="0"/>
          <w:sz w:val="24"/>
          <w:szCs w:val="24"/>
        </w:rPr>
        <w:t>，</w:t>
      </w:r>
      <w:r w:rsidRPr="00767C2D">
        <w:rPr>
          <w:rFonts w:eastAsiaTheme="minorEastAsia" w:hint="eastAsia"/>
          <w:kern w:val="0"/>
          <w:sz w:val="24"/>
          <w:szCs w:val="24"/>
        </w:rPr>
        <w:t>将在基金合同终止时随</w:t>
      </w:r>
      <w:r>
        <w:rPr>
          <w:rFonts w:eastAsiaTheme="minorEastAsia" w:hint="eastAsia"/>
          <w:kern w:val="0"/>
          <w:sz w:val="24"/>
          <w:szCs w:val="24"/>
        </w:rPr>
        <w:t>清算款</w:t>
      </w:r>
      <w:r w:rsidRPr="00767C2D">
        <w:rPr>
          <w:rFonts w:eastAsiaTheme="minorEastAsia" w:hint="eastAsia"/>
          <w:kern w:val="0"/>
          <w:sz w:val="24"/>
          <w:szCs w:val="24"/>
        </w:rPr>
        <w:t>一并返还给投资者。</w:t>
      </w:r>
    </w:p>
    <w:p w14:paraId="699B8C63"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（六）基金财产清算的公告</w:t>
      </w:r>
    </w:p>
    <w:p w14:paraId="0F659134"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46802632"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（七）基金财产清算账册及文件的保存</w:t>
      </w:r>
    </w:p>
    <w:p w14:paraId="3D462FBF"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基金财产清算账册及有关文件由基金托管人保存，保存期限不少于法定最低期限。</w:t>
      </w:r>
    </w:p>
    <w:p w14:paraId="48A27539"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八、争议解决方式</w:t>
      </w:r>
    </w:p>
    <w:p w14:paraId="1B77E673"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各方当事人同意，因《基金合同》而产生的或与《基金合同》有关的一切争议可通过友好协商或者调解解决，如未能协商或者调解解决的，任何一方均有权将争议提交中国国际经济贸易仲裁委员会，按照其届时有效的仲裁规则进行仲裁，仲裁地点为北京市。仲裁裁决是终局的，对各方当事人均有约束力，除非仲裁裁</w:t>
      </w:r>
      <w:r>
        <w:rPr>
          <w:rFonts w:ascii="宋体" w:hAnsi="宋体" w:cs="宋体"/>
          <w:kern w:val="0"/>
          <w:sz w:val="24"/>
          <w:szCs w:val="24"/>
        </w:rPr>
        <w:lastRenderedPageBreak/>
        <w:t>决另有决定，仲裁费用由败诉方承担。</w:t>
      </w:r>
    </w:p>
    <w:p w14:paraId="61D07BFA"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争议处理期间，基金合同当事人应恪守各自的职责，继续忠实、勤勉、尽责地履行基金合同规定的义务，维护基金份额持有人的合法权益。</w:t>
      </w:r>
    </w:p>
    <w:p w14:paraId="16311A7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p>
    <w:p w14:paraId="74D1D9C4" w14:textId="77777777" w:rsidR="000A052A" w:rsidRDefault="009713AD">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九、基金合同的效力</w:t>
      </w:r>
    </w:p>
    <w:p w14:paraId="319C226D" w14:textId="77777777" w:rsidR="000A052A" w:rsidRDefault="009713AD">
      <w:pPr>
        <w:spacing w:line="360" w:lineRule="auto"/>
        <w:ind w:firstLine="480"/>
        <w:rPr>
          <w:rFonts w:eastAsia="Times New Roman"/>
          <w:kern w:val="0"/>
          <w:sz w:val="24"/>
          <w:szCs w:val="24"/>
        </w:rPr>
      </w:pPr>
      <w:r>
        <w:rPr>
          <w:rFonts w:ascii="宋体" w:hAnsi="宋体" w:cs="宋体"/>
          <w:kern w:val="0"/>
          <w:sz w:val="24"/>
          <w:szCs w:val="24"/>
        </w:rPr>
        <w:t>《基金合同》是约定基金合同当事人之间权利义务关系的法律文件。</w:t>
      </w:r>
    </w:p>
    <w:p w14:paraId="4DE16A91"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1、《基金合同》经基金管理人、基金托管人双方盖章以及双方法定代表人或授权代表签字或盖章并在募集结束后经基金管理人向中国证监会办理基金备案手续，并经中国证监会书面确认后生效。</w:t>
      </w:r>
    </w:p>
    <w:p w14:paraId="5BC214A4"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2、《基金合同》的有效期自其生效之日起至基金财产清算结果报中国证监会备案并公告之日止。</w:t>
      </w:r>
    </w:p>
    <w:p w14:paraId="3F9EBAD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3、《基金合同》自生效之日起对包括基金管理人、基金托管人和基金份额持有人在内的《基金合同》各方当事人具有同等的法律约束力。</w:t>
      </w:r>
    </w:p>
    <w:p w14:paraId="4773573F"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4、《基金合同》正本一式叁份，除上报有关监管机构一式壹份外，基金管理人、基金托管人各持有壹份，每份具有同等的法律效力。</w:t>
      </w:r>
    </w:p>
    <w:p w14:paraId="2EE6F71C" w14:textId="77777777" w:rsidR="000A052A" w:rsidRDefault="009713AD">
      <w:pPr>
        <w:spacing w:line="360" w:lineRule="auto"/>
        <w:ind w:firstLine="480"/>
        <w:jc w:val="left"/>
        <w:rPr>
          <w:rFonts w:eastAsia="Times New Roman"/>
          <w:kern w:val="0"/>
          <w:sz w:val="24"/>
          <w:szCs w:val="24"/>
        </w:rPr>
      </w:pPr>
      <w:r>
        <w:rPr>
          <w:rFonts w:ascii="宋体" w:hAnsi="宋体" w:cs="宋体"/>
          <w:kern w:val="0"/>
          <w:sz w:val="24"/>
          <w:szCs w:val="24"/>
        </w:rPr>
        <w:t>5、《基金合同》可印制成册，供投资者在基金管理人、基金托管人、销售机构的办公场所和营业场所查阅。</w:t>
      </w:r>
    </w:p>
    <w:p w14:paraId="6DA2C43C" w14:textId="77777777" w:rsidR="009D63C8" w:rsidRDefault="009D63C8" w:rsidP="009E26D0">
      <w:pPr>
        <w:pStyle w:val="1"/>
        <w:spacing w:before="0" w:after="0"/>
        <w:jc w:val="center"/>
        <w:rPr>
          <w:rFonts w:ascii="Times New Roman"/>
          <w:color w:val="auto"/>
          <w:sz w:val="30"/>
        </w:rPr>
        <w:sectPr w:rsidR="009D63C8" w:rsidSect="0024488F">
          <w:footerReference w:type="default" r:id="rId12"/>
          <w:pgSz w:w="11906" w:h="16838"/>
          <w:pgMar w:top="1440" w:right="1800" w:bottom="1440" w:left="1800" w:header="851" w:footer="992" w:gutter="0"/>
          <w:pgNumType w:start="1"/>
          <w:cols w:space="720"/>
          <w:docGrid w:type="lines" w:linePitch="312"/>
        </w:sectPr>
      </w:pPr>
    </w:p>
    <w:p w14:paraId="184F348D" w14:textId="77777777" w:rsidR="00693FD0" w:rsidRDefault="009713AD" w:rsidP="00693FD0">
      <w:pPr>
        <w:autoSpaceDE w:val="0"/>
        <w:autoSpaceDN w:val="0"/>
        <w:adjustRightInd w:val="0"/>
        <w:spacing w:line="360" w:lineRule="auto"/>
        <w:jc w:val="left"/>
        <w:rPr>
          <w:bCs/>
          <w:sz w:val="24"/>
        </w:rPr>
      </w:pPr>
      <w:r>
        <w:rPr>
          <w:rFonts w:ascii="宋体" w:hAnsi="宋体" w:hint="eastAsia"/>
          <w:sz w:val="24"/>
        </w:rPr>
        <w:lastRenderedPageBreak/>
        <w:t>本页无正文，为《</w:t>
      </w:r>
      <w:r w:rsidR="000E379A">
        <w:rPr>
          <w:rFonts w:ascii="宋体" w:hAnsi="宋体"/>
          <w:noProof/>
          <w:sz w:val="24"/>
        </w:rPr>
        <w:t>汇添富中证全指指数增强型证券投资基金</w:t>
      </w:r>
      <w:r>
        <w:rPr>
          <w:rFonts w:ascii="宋体" w:hAnsi="宋体" w:hint="eastAsia"/>
          <w:sz w:val="24"/>
        </w:rPr>
        <w:t>基金合同》签字盖章页</w:t>
      </w:r>
    </w:p>
    <w:p w14:paraId="319FB75A" w14:textId="77777777" w:rsidR="00693FD0" w:rsidRPr="001F13BD" w:rsidRDefault="00693FD0" w:rsidP="00693FD0">
      <w:pPr>
        <w:autoSpaceDE w:val="0"/>
        <w:autoSpaceDN w:val="0"/>
        <w:spacing w:line="360" w:lineRule="auto"/>
        <w:ind w:firstLine="425"/>
        <w:textAlignment w:val="bottom"/>
        <w:rPr>
          <w:rFonts w:ascii="宋体" w:hAnsi="宋体"/>
          <w:sz w:val="24"/>
        </w:rPr>
      </w:pPr>
    </w:p>
    <w:p w14:paraId="5749BF07" w14:textId="77777777" w:rsidR="00693FD0" w:rsidRDefault="00693FD0" w:rsidP="00693FD0">
      <w:pPr>
        <w:autoSpaceDE w:val="0"/>
        <w:autoSpaceDN w:val="0"/>
        <w:spacing w:line="360" w:lineRule="auto"/>
        <w:ind w:firstLine="425"/>
        <w:textAlignment w:val="bottom"/>
        <w:rPr>
          <w:rFonts w:ascii="宋体" w:hAnsi="宋体"/>
          <w:sz w:val="24"/>
        </w:rPr>
      </w:pPr>
    </w:p>
    <w:p w14:paraId="43324663" w14:textId="77777777" w:rsidR="00693FD0" w:rsidRDefault="00693FD0" w:rsidP="00693FD0">
      <w:pPr>
        <w:spacing w:line="360" w:lineRule="auto"/>
        <w:ind w:right="26"/>
        <w:rPr>
          <w:rFonts w:ascii="宋体" w:hAnsi="宋体"/>
          <w:sz w:val="24"/>
        </w:rPr>
      </w:pPr>
    </w:p>
    <w:p w14:paraId="7AC30B71" w14:textId="77777777" w:rsidR="00693FD0" w:rsidRDefault="009713AD" w:rsidP="00693FD0">
      <w:pPr>
        <w:spacing w:line="360" w:lineRule="auto"/>
        <w:ind w:right="26"/>
        <w:rPr>
          <w:rFonts w:ascii="宋体" w:hAnsi="宋体"/>
          <w:b/>
          <w:sz w:val="24"/>
        </w:rPr>
      </w:pPr>
      <w:r>
        <w:rPr>
          <w:rFonts w:ascii="宋体" w:hAnsi="宋体" w:hint="eastAsia"/>
          <w:b/>
          <w:sz w:val="24"/>
        </w:rPr>
        <w:t>基金管理人：</w:t>
      </w:r>
      <w:r w:rsidR="00FF146D">
        <w:rPr>
          <w:rFonts w:ascii="宋体" w:hAnsi="宋体"/>
          <w:b/>
          <w:noProof/>
          <w:sz w:val="24"/>
        </w:rPr>
        <w:t>汇添富基金管理股份有限公司</w:t>
      </w:r>
      <w:r>
        <w:rPr>
          <w:rFonts w:ascii="宋体" w:hAnsi="宋体" w:hint="eastAsia"/>
          <w:b/>
          <w:sz w:val="24"/>
        </w:rPr>
        <w:t>（公章）</w:t>
      </w:r>
    </w:p>
    <w:p w14:paraId="279AF932" w14:textId="77777777" w:rsidR="00693FD0" w:rsidRDefault="00693FD0" w:rsidP="00693FD0">
      <w:pPr>
        <w:spacing w:line="360" w:lineRule="auto"/>
        <w:ind w:right="26"/>
        <w:rPr>
          <w:rFonts w:ascii="宋体" w:hAnsi="宋体"/>
          <w:b/>
          <w:sz w:val="24"/>
        </w:rPr>
      </w:pPr>
    </w:p>
    <w:p w14:paraId="7F56B27A" w14:textId="77777777" w:rsidR="00693FD0" w:rsidRDefault="00693FD0" w:rsidP="00693FD0">
      <w:pPr>
        <w:spacing w:line="360" w:lineRule="auto"/>
        <w:ind w:right="26"/>
        <w:rPr>
          <w:rFonts w:ascii="宋体" w:hAnsi="宋体"/>
          <w:b/>
          <w:sz w:val="24"/>
        </w:rPr>
      </w:pPr>
    </w:p>
    <w:p w14:paraId="3C09DED1" w14:textId="77777777" w:rsidR="00693FD0" w:rsidRDefault="00693FD0" w:rsidP="00693FD0">
      <w:pPr>
        <w:spacing w:line="360" w:lineRule="auto"/>
        <w:ind w:right="26"/>
        <w:rPr>
          <w:rFonts w:ascii="宋体" w:hAnsi="宋体"/>
          <w:b/>
          <w:sz w:val="24"/>
        </w:rPr>
      </w:pPr>
    </w:p>
    <w:p w14:paraId="61B5D25D" w14:textId="77777777" w:rsidR="00693FD0" w:rsidRDefault="009713AD" w:rsidP="00693FD0">
      <w:pPr>
        <w:spacing w:line="360" w:lineRule="auto"/>
        <w:ind w:right="26"/>
        <w:rPr>
          <w:rFonts w:ascii="宋体" w:hAnsi="宋体"/>
          <w:b/>
          <w:sz w:val="24"/>
        </w:rPr>
      </w:pPr>
      <w:r>
        <w:rPr>
          <w:rFonts w:ascii="宋体" w:hAnsi="宋体" w:hint="eastAsia"/>
          <w:b/>
          <w:sz w:val="24"/>
        </w:rPr>
        <w:t>法定代表人或授权代表：            （签字或</w:t>
      </w:r>
      <w:r>
        <w:rPr>
          <w:rFonts w:ascii="宋体" w:hAnsi="宋体"/>
          <w:b/>
          <w:sz w:val="24"/>
        </w:rPr>
        <w:t>盖章</w:t>
      </w:r>
      <w:r>
        <w:rPr>
          <w:rFonts w:ascii="宋体" w:hAnsi="宋体" w:hint="eastAsia"/>
          <w:b/>
          <w:sz w:val="24"/>
        </w:rPr>
        <w:t>）</w:t>
      </w:r>
    </w:p>
    <w:p w14:paraId="17541CD8" w14:textId="77777777" w:rsidR="00693FD0" w:rsidRDefault="00693FD0" w:rsidP="00693FD0">
      <w:pPr>
        <w:spacing w:line="360" w:lineRule="auto"/>
        <w:ind w:right="26"/>
        <w:rPr>
          <w:rFonts w:ascii="宋体" w:hAnsi="宋体"/>
          <w:b/>
          <w:sz w:val="24"/>
        </w:rPr>
      </w:pPr>
    </w:p>
    <w:p w14:paraId="10E342E5" w14:textId="77777777" w:rsidR="00693FD0" w:rsidRDefault="00693FD0" w:rsidP="00693FD0">
      <w:pPr>
        <w:spacing w:line="360" w:lineRule="auto"/>
        <w:ind w:right="26"/>
        <w:rPr>
          <w:rFonts w:ascii="宋体" w:hAnsi="宋体"/>
          <w:b/>
          <w:sz w:val="24"/>
        </w:rPr>
      </w:pPr>
    </w:p>
    <w:p w14:paraId="7989F60C" w14:textId="77777777" w:rsidR="00693FD0" w:rsidRDefault="00693FD0" w:rsidP="00693FD0">
      <w:pPr>
        <w:spacing w:line="360" w:lineRule="auto"/>
        <w:ind w:right="26"/>
        <w:rPr>
          <w:rFonts w:ascii="宋体" w:hAnsi="宋体"/>
          <w:b/>
          <w:sz w:val="24"/>
        </w:rPr>
      </w:pPr>
    </w:p>
    <w:p w14:paraId="3CB126AA" w14:textId="77777777" w:rsidR="00693FD0" w:rsidRDefault="00693FD0" w:rsidP="00693FD0">
      <w:pPr>
        <w:spacing w:line="360" w:lineRule="auto"/>
        <w:ind w:right="26"/>
        <w:rPr>
          <w:rFonts w:ascii="宋体" w:hAnsi="宋体"/>
          <w:b/>
          <w:sz w:val="24"/>
        </w:rPr>
      </w:pPr>
    </w:p>
    <w:p w14:paraId="73252EC8" w14:textId="77777777" w:rsidR="00693FD0" w:rsidRDefault="00693FD0" w:rsidP="00693FD0">
      <w:pPr>
        <w:spacing w:line="360" w:lineRule="auto"/>
        <w:ind w:right="26"/>
        <w:rPr>
          <w:rFonts w:ascii="宋体" w:hAnsi="宋体"/>
          <w:b/>
          <w:sz w:val="24"/>
        </w:rPr>
      </w:pPr>
    </w:p>
    <w:p w14:paraId="7480A57D" w14:textId="77777777" w:rsidR="00693FD0" w:rsidRDefault="009713AD" w:rsidP="00693FD0">
      <w:pPr>
        <w:spacing w:line="360" w:lineRule="auto"/>
        <w:ind w:right="26"/>
        <w:rPr>
          <w:rFonts w:ascii="宋体" w:hAnsi="宋体"/>
          <w:b/>
          <w:sz w:val="24"/>
        </w:rPr>
      </w:pPr>
      <w:r>
        <w:rPr>
          <w:rFonts w:ascii="宋体" w:hAnsi="宋体" w:hint="eastAsia"/>
          <w:b/>
          <w:sz w:val="24"/>
        </w:rPr>
        <w:t>基金托管人：</w:t>
      </w:r>
      <w:r w:rsidR="004C27BF">
        <w:rPr>
          <w:rFonts w:ascii="宋体" w:hAnsi="宋体"/>
          <w:b/>
          <w:noProof/>
          <w:sz w:val="24"/>
        </w:rPr>
        <w:t>中国建设银行股份有限公司</w:t>
      </w:r>
      <w:r>
        <w:rPr>
          <w:rFonts w:ascii="宋体" w:hAnsi="宋体" w:hint="eastAsia"/>
          <w:b/>
          <w:sz w:val="24"/>
        </w:rPr>
        <w:t>（公章或合同专用章）</w:t>
      </w:r>
    </w:p>
    <w:p w14:paraId="0659AFEA" w14:textId="77777777" w:rsidR="00693FD0" w:rsidRPr="001B3121" w:rsidRDefault="00693FD0" w:rsidP="00693FD0">
      <w:pPr>
        <w:spacing w:line="360" w:lineRule="auto"/>
        <w:ind w:right="26"/>
        <w:rPr>
          <w:rFonts w:ascii="宋体" w:hAnsi="宋体"/>
          <w:b/>
          <w:sz w:val="24"/>
        </w:rPr>
      </w:pPr>
    </w:p>
    <w:p w14:paraId="39BE4F18" w14:textId="77777777" w:rsidR="00693FD0" w:rsidRDefault="00693FD0" w:rsidP="00693FD0">
      <w:pPr>
        <w:spacing w:line="360" w:lineRule="auto"/>
        <w:ind w:right="26"/>
        <w:rPr>
          <w:rFonts w:ascii="宋体" w:hAnsi="宋体"/>
          <w:b/>
          <w:sz w:val="24"/>
        </w:rPr>
      </w:pPr>
    </w:p>
    <w:p w14:paraId="54ED1034" w14:textId="77777777" w:rsidR="00693FD0" w:rsidRDefault="00693FD0" w:rsidP="00693FD0">
      <w:pPr>
        <w:spacing w:line="360" w:lineRule="auto"/>
        <w:ind w:right="26"/>
        <w:rPr>
          <w:rFonts w:ascii="宋体" w:hAnsi="宋体"/>
          <w:b/>
          <w:sz w:val="24"/>
        </w:rPr>
      </w:pPr>
    </w:p>
    <w:p w14:paraId="2593757B" w14:textId="77777777" w:rsidR="00693FD0" w:rsidRDefault="009713AD" w:rsidP="00693FD0">
      <w:pPr>
        <w:spacing w:line="360" w:lineRule="auto"/>
        <w:ind w:right="26"/>
        <w:rPr>
          <w:rFonts w:ascii="宋体" w:hAnsi="宋体"/>
          <w:b/>
          <w:sz w:val="24"/>
        </w:rPr>
      </w:pPr>
      <w:r>
        <w:rPr>
          <w:rFonts w:ascii="宋体" w:hAnsi="宋体" w:hint="eastAsia"/>
          <w:b/>
          <w:sz w:val="24"/>
        </w:rPr>
        <w:t>法定代表人或授权代表：            （签字或盖章）</w:t>
      </w:r>
    </w:p>
    <w:p w14:paraId="250EBA50" w14:textId="77777777" w:rsidR="00693FD0" w:rsidRDefault="00693FD0" w:rsidP="00693FD0">
      <w:pPr>
        <w:spacing w:line="360" w:lineRule="auto"/>
        <w:ind w:right="26"/>
        <w:rPr>
          <w:rFonts w:ascii="宋体" w:hAnsi="宋体"/>
          <w:b/>
          <w:sz w:val="24"/>
        </w:rPr>
      </w:pPr>
    </w:p>
    <w:p w14:paraId="410E659B" w14:textId="77777777" w:rsidR="00693FD0" w:rsidRDefault="00693FD0" w:rsidP="00693FD0">
      <w:pPr>
        <w:spacing w:line="360" w:lineRule="auto"/>
        <w:ind w:right="26"/>
        <w:rPr>
          <w:rFonts w:ascii="宋体" w:hAnsi="宋体"/>
          <w:b/>
          <w:sz w:val="24"/>
        </w:rPr>
      </w:pPr>
    </w:p>
    <w:p w14:paraId="605CBD47" w14:textId="77777777" w:rsidR="00693FD0" w:rsidRDefault="00693FD0" w:rsidP="00693FD0">
      <w:pPr>
        <w:spacing w:line="360" w:lineRule="auto"/>
        <w:ind w:right="26"/>
        <w:rPr>
          <w:rFonts w:ascii="宋体" w:hAnsi="宋体"/>
          <w:b/>
          <w:sz w:val="24"/>
        </w:rPr>
      </w:pPr>
    </w:p>
    <w:p w14:paraId="60D6420E" w14:textId="77777777" w:rsidR="00693FD0" w:rsidRDefault="00693FD0" w:rsidP="00693FD0">
      <w:pPr>
        <w:spacing w:line="360" w:lineRule="auto"/>
        <w:ind w:right="26"/>
        <w:rPr>
          <w:rFonts w:ascii="宋体" w:hAnsi="宋体"/>
          <w:b/>
          <w:sz w:val="24"/>
        </w:rPr>
      </w:pPr>
    </w:p>
    <w:p w14:paraId="16B0F731" w14:textId="77777777" w:rsidR="00693FD0" w:rsidRDefault="00693FD0" w:rsidP="00693FD0">
      <w:pPr>
        <w:spacing w:line="360" w:lineRule="auto"/>
        <w:ind w:right="26"/>
        <w:rPr>
          <w:rFonts w:ascii="宋体" w:hAnsi="宋体"/>
          <w:b/>
          <w:sz w:val="24"/>
        </w:rPr>
      </w:pPr>
    </w:p>
    <w:p w14:paraId="1E07E00E" w14:textId="77777777" w:rsidR="00693FD0" w:rsidRDefault="00693FD0" w:rsidP="00693FD0">
      <w:pPr>
        <w:spacing w:line="360" w:lineRule="auto"/>
        <w:ind w:right="26"/>
        <w:rPr>
          <w:rFonts w:ascii="宋体" w:hAnsi="宋体"/>
          <w:b/>
          <w:sz w:val="24"/>
        </w:rPr>
      </w:pPr>
    </w:p>
    <w:p w14:paraId="2F2B36FA" w14:textId="77777777" w:rsidR="00693FD0" w:rsidRDefault="009713AD" w:rsidP="00693FD0">
      <w:pPr>
        <w:spacing w:line="360" w:lineRule="auto"/>
        <w:ind w:right="26"/>
        <w:rPr>
          <w:rFonts w:ascii="宋体" w:hAnsi="宋体"/>
          <w:b/>
          <w:sz w:val="24"/>
        </w:rPr>
      </w:pPr>
      <w:r>
        <w:rPr>
          <w:rFonts w:ascii="宋体" w:hAnsi="宋体" w:hint="eastAsia"/>
          <w:b/>
          <w:sz w:val="24"/>
        </w:rPr>
        <w:t>签订地点：</w:t>
      </w:r>
    </w:p>
    <w:p w14:paraId="27E8F003" w14:textId="77777777" w:rsidR="000658E8" w:rsidRPr="00016DFA" w:rsidRDefault="009713AD" w:rsidP="00016DFA">
      <w:pPr>
        <w:autoSpaceDE w:val="0"/>
        <w:autoSpaceDN w:val="0"/>
        <w:adjustRightInd w:val="0"/>
        <w:spacing w:line="360" w:lineRule="auto"/>
        <w:jc w:val="left"/>
        <w:rPr>
          <w:bCs/>
        </w:rPr>
      </w:pPr>
      <w:r>
        <w:rPr>
          <w:rFonts w:ascii="宋体" w:hAnsi="宋体" w:hint="eastAsia"/>
          <w:b/>
          <w:sz w:val="24"/>
        </w:rPr>
        <w:t>签 订 日：</w:t>
      </w:r>
      <w:r>
        <w:rPr>
          <w:rFonts w:ascii="宋体" w:hAnsi="宋体"/>
          <w:b/>
          <w:sz w:val="24"/>
        </w:rPr>
        <w:t xml:space="preserve">   </w:t>
      </w:r>
      <w:r>
        <w:rPr>
          <w:rFonts w:ascii="宋体" w:hAnsi="宋体" w:hint="eastAsia"/>
          <w:b/>
          <w:sz w:val="24"/>
        </w:rPr>
        <w:t xml:space="preserve">年 </w:t>
      </w:r>
      <w:r>
        <w:rPr>
          <w:rFonts w:ascii="宋体" w:hAnsi="宋体"/>
          <w:b/>
          <w:sz w:val="24"/>
        </w:rPr>
        <w:t xml:space="preserve"> </w:t>
      </w:r>
      <w:r>
        <w:rPr>
          <w:rFonts w:ascii="宋体" w:hAnsi="宋体" w:hint="eastAsia"/>
          <w:b/>
          <w:sz w:val="24"/>
        </w:rPr>
        <w:t xml:space="preserve"> </w:t>
      </w:r>
      <w:r>
        <w:rPr>
          <w:rFonts w:ascii="宋体" w:hAnsi="宋体"/>
          <w:b/>
          <w:sz w:val="24"/>
        </w:rPr>
        <w:t xml:space="preserve"> </w:t>
      </w:r>
      <w:r>
        <w:rPr>
          <w:rFonts w:ascii="宋体" w:hAnsi="宋体" w:hint="eastAsia"/>
          <w:b/>
          <w:sz w:val="24"/>
        </w:rPr>
        <w:t xml:space="preserve">月  </w:t>
      </w:r>
      <w:r>
        <w:rPr>
          <w:rFonts w:ascii="宋体" w:hAnsi="宋体"/>
          <w:b/>
          <w:sz w:val="24"/>
        </w:rPr>
        <w:t xml:space="preserve">  </w:t>
      </w:r>
      <w:r>
        <w:rPr>
          <w:rFonts w:ascii="宋体" w:hAnsi="宋体" w:hint="eastAsia"/>
          <w:b/>
          <w:sz w:val="24"/>
        </w:rPr>
        <w:t>日</w:t>
      </w:r>
    </w:p>
    <w:sectPr w:rsidR="000658E8" w:rsidRPr="00016DFA" w:rsidSect="003D4BDD">
      <w:headerReference w:type="default" r:id="rId13"/>
      <w:footerReference w:type="default" r:id="rId14"/>
      <w:pgSz w:w="11906" w:h="16838"/>
      <w:pgMar w:top="1440" w:right="1800" w:bottom="1440" w:left="1800" w:header="851" w:footer="992" w:gutter="0"/>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9CCBD9" w16cid:durableId="2D148023"/>
  <w16cid:commentId w16cid:paraId="0C4CAB49" w16cid:durableId="2D14805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A672B" w14:textId="77777777" w:rsidR="006D0015" w:rsidRDefault="006D0015">
      <w:r>
        <w:separator/>
      </w:r>
    </w:p>
  </w:endnote>
  <w:endnote w:type="continuationSeparator" w:id="0">
    <w:p w14:paraId="5C3B590D" w14:textId="77777777" w:rsidR="006D0015" w:rsidRDefault="006D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22C6E" w14:textId="77777777" w:rsidR="00995CA2" w:rsidRPr="00A77AE9" w:rsidRDefault="00995CA2" w:rsidP="00A77AE9">
    <w:pPr>
      <w:pStyle w:val="af5"/>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802666"/>
      <w:docPartObj>
        <w:docPartGallery w:val="Page Numbers (Bottom of Page)"/>
        <w:docPartUnique/>
      </w:docPartObj>
    </w:sdtPr>
    <w:sdtEndPr/>
    <w:sdtContent>
      <w:p w14:paraId="3B3F4F4C" w14:textId="70B6CD1D" w:rsidR="00995CA2" w:rsidRPr="0024488F" w:rsidRDefault="00995CA2" w:rsidP="0024488F">
        <w:pPr>
          <w:pStyle w:val="af5"/>
          <w:jc w:val="center"/>
        </w:pPr>
        <w:r>
          <w:fldChar w:fldCharType="begin"/>
        </w:r>
        <w:r>
          <w:instrText>PAGE   \* MERGEFORMAT</w:instrText>
        </w:r>
        <w:r>
          <w:fldChar w:fldCharType="separate"/>
        </w:r>
        <w:r w:rsidR="00855765" w:rsidRPr="00855765">
          <w:rPr>
            <w:noProof/>
            <w:lang w:val="zh-CN"/>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453013"/>
      <w:docPartObj>
        <w:docPartGallery w:val="Page Numbers (Bottom of Page)"/>
        <w:docPartUnique/>
      </w:docPartObj>
    </w:sdtPr>
    <w:sdtEndPr/>
    <w:sdtContent>
      <w:p w14:paraId="3D309267" w14:textId="7F9502D7" w:rsidR="00995CA2" w:rsidRPr="0024488F" w:rsidRDefault="00995CA2" w:rsidP="0024488F">
        <w:pPr>
          <w:pStyle w:val="af5"/>
          <w:jc w:val="center"/>
        </w:pPr>
        <w:r>
          <w:fldChar w:fldCharType="begin"/>
        </w:r>
        <w:r>
          <w:instrText>PAGE   \* MERGEFORMAT</w:instrText>
        </w:r>
        <w:r>
          <w:fldChar w:fldCharType="separate"/>
        </w:r>
        <w:r w:rsidR="00855765" w:rsidRPr="00855765">
          <w:rPr>
            <w:noProof/>
            <w:lang w:val="zh-CN"/>
          </w:rPr>
          <w:t>19</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FACB4" w14:textId="77777777" w:rsidR="00995CA2" w:rsidRPr="0024488F" w:rsidRDefault="00995CA2" w:rsidP="0024488F">
    <w:pPr>
      <w:pStyle w:val="af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721C7" w14:textId="77777777" w:rsidR="006D0015" w:rsidRDefault="006D0015">
      <w:r>
        <w:separator/>
      </w:r>
    </w:p>
  </w:footnote>
  <w:footnote w:type="continuationSeparator" w:id="0">
    <w:p w14:paraId="11EDB05C" w14:textId="77777777" w:rsidR="006D0015" w:rsidRDefault="006D00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96D0" w14:textId="793076E6" w:rsidR="00995CA2" w:rsidRDefault="00995CA2" w:rsidP="00F14601">
    <w:pPr>
      <w:pStyle w:val="aa"/>
      <w:tabs>
        <w:tab w:val="clear" w:pos="4153"/>
      </w:tabs>
      <w:jc w:val="left"/>
    </w:pPr>
    <w:r>
      <w:rPr>
        <w:noProof/>
      </w:rPr>
      <w:t>汇添富中证全指指数增强型证券投资基金</w:t>
    </w:r>
    <w:r>
      <w:rPr>
        <w:noProof/>
      </w:rPr>
      <w:tab/>
    </w:r>
    <w:r>
      <w:rPr>
        <w:noProof/>
      </w:rPr>
      <w:t>基金合同</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F04FF" w14:textId="77777777" w:rsidR="00995CA2" w:rsidRDefault="00995CA2" w:rsidP="00F14601">
    <w:pPr>
      <w:pStyle w:val="aa"/>
      <w:tabs>
        <w:tab w:val="clear" w:pos="4153"/>
      </w:tabs>
      <w:jc w:val="left"/>
    </w:pPr>
    <w:r>
      <w:rPr>
        <w:noProof/>
      </w:rPr>
      <w:t>汇添富中证全指指数增强型证券投资基金</w:t>
    </w:r>
    <w:r>
      <w:rPr>
        <w:noProof/>
      </w:rPr>
      <w:tab/>
    </w:r>
    <w:r>
      <w:rPr>
        <w:rFonts w:hint="eastAsia"/>
      </w:rPr>
      <w:t>基金合同</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C"/>
    <w:multiLevelType w:val="singleLevel"/>
    <w:tmpl w:val="0000000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2" w15:restartNumberingAfterBreak="0">
    <w:nsid w:val="0E643BC9"/>
    <w:multiLevelType w:val="hybridMultilevel"/>
    <w:tmpl w:val="F108657E"/>
    <w:lvl w:ilvl="0" w:tplc="CADCD40A">
      <w:start w:val="1"/>
      <w:numFmt w:val="lowerRoman"/>
      <w:lvlText w:val="%1."/>
      <w:lvlJc w:val="right"/>
      <w:pPr>
        <w:ind w:left="900" w:hanging="420"/>
      </w:pPr>
      <w:rPr>
        <w:rFonts w:hint="eastAsia"/>
      </w:rPr>
    </w:lvl>
    <w:lvl w:ilvl="1" w:tplc="2D1E2156" w:tentative="1">
      <w:start w:val="1"/>
      <w:numFmt w:val="lowerLetter"/>
      <w:lvlText w:val="%2)"/>
      <w:lvlJc w:val="left"/>
      <w:pPr>
        <w:ind w:left="1320" w:hanging="420"/>
      </w:pPr>
    </w:lvl>
    <w:lvl w:ilvl="2" w:tplc="2F82FAAA" w:tentative="1">
      <w:start w:val="1"/>
      <w:numFmt w:val="lowerRoman"/>
      <w:lvlText w:val="%3."/>
      <w:lvlJc w:val="right"/>
      <w:pPr>
        <w:ind w:left="1740" w:hanging="420"/>
      </w:pPr>
    </w:lvl>
    <w:lvl w:ilvl="3" w:tplc="D50E3222" w:tentative="1">
      <w:start w:val="1"/>
      <w:numFmt w:val="decimal"/>
      <w:lvlText w:val="%4."/>
      <w:lvlJc w:val="left"/>
      <w:pPr>
        <w:ind w:left="2160" w:hanging="420"/>
      </w:pPr>
    </w:lvl>
    <w:lvl w:ilvl="4" w:tplc="9A3EDBEC" w:tentative="1">
      <w:start w:val="1"/>
      <w:numFmt w:val="lowerLetter"/>
      <w:lvlText w:val="%5)"/>
      <w:lvlJc w:val="left"/>
      <w:pPr>
        <w:ind w:left="2580" w:hanging="420"/>
      </w:pPr>
    </w:lvl>
    <w:lvl w:ilvl="5" w:tplc="6AE66B40" w:tentative="1">
      <w:start w:val="1"/>
      <w:numFmt w:val="lowerRoman"/>
      <w:lvlText w:val="%6."/>
      <w:lvlJc w:val="right"/>
      <w:pPr>
        <w:ind w:left="3000" w:hanging="420"/>
      </w:pPr>
    </w:lvl>
    <w:lvl w:ilvl="6" w:tplc="FE28E484" w:tentative="1">
      <w:start w:val="1"/>
      <w:numFmt w:val="decimal"/>
      <w:lvlText w:val="%7."/>
      <w:lvlJc w:val="left"/>
      <w:pPr>
        <w:ind w:left="3420" w:hanging="420"/>
      </w:pPr>
    </w:lvl>
    <w:lvl w:ilvl="7" w:tplc="41FA9154" w:tentative="1">
      <w:start w:val="1"/>
      <w:numFmt w:val="lowerLetter"/>
      <w:lvlText w:val="%8)"/>
      <w:lvlJc w:val="left"/>
      <w:pPr>
        <w:ind w:left="3840" w:hanging="420"/>
      </w:pPr>
    </w:lvl>
    <w:lvl w:ilvl="8" w:tplc="D1AC4C26" w:tentative="1">
      <w:start w:val="1"/>
      <w:numFmt w:val="lowerRoman"/>
      <w:lvlText w:val="%9."/>
      <w:lvlJc w:val="right"/>
      <w:pPr>
        <w:ind w:left="4260" w:hanging="420"/>
      </w:pPr>
    </w:lvl>
  </w:abstractNum>
  <w:abstractNum w:abstractNumId="3" w15:restartNumberingAfterBreak="0">
    <w:nsid w:val="1E86392D"/>
    <w:multiLevelType w:val="hybridMultilevel"/>
    <w:tmpl w:val="73120538"/>
    <w:lvl w:ilvl="0" w:tplc="C890EBE0">
      <w:start w:val="1"/>
      <w:numFmt w:val="decimal"/>
      <w:lvlText w:val="1.%1."/>
      <w:lvlJc w:val="left"/>
      <w:pPr>
        <w:ind w:left="900" w:hanging="420"/>
      </w:pPr>
      <w:rPr>
        <w:rFonts w:hint="eastAsia"/>
      </w:rPr>
    </w:lvl>
    <w:lvl w:ilvl="1" w:tplc="8E56E722" w:tentative="1">
      <w:start w:val="1"/>
      <w:numFmt w:val="lowerLetter"/>
      <w:lvlText w:val="%2)"/>
      <w:lvlJc w:val="left"/>
      <w:pPr>
        <w:ind w:left="1320" w:hanging="420"/>
      </w:pPr>
    </w:lvl>
    <w:lvl w:ilvl="2" w:tplc="8DF6B646" w:tentative="1">
      <w:start w:val="1"/>
      <w:numFmt w:val="lowerRoman"/>
      <w:lvlText w:val="%3."/>
      <w:lvlJc w:val="right"/>
      <w:pPr>
        <w:ind w:left="1740" w:hanging="420"/>
      </w:pPr>
    </w:lvl>
    <w:lvl w:ilvl="3" w:tplc="0C5ED8F0" w:tentative="1">
      <w:start w:val="1"/>
      <w:numFmt w:val="decimal"/>
      <w:lvlText w:val="%4."/>
      <w:lvlJc w:val="left"/>
      <w:pPr>
        <w:ind w:left="2160" w:hanging="420"/>
      </w:pPr>
    </w:lvl>
    <w:lvl w:ilvl="4" w:tplc="FF2E2C1E" w:tentative="1">
      <w:start w:val="1"/>
      <w:numFmt w:val="lowerLetter"/>
      <w:lvlText w:val="%5)"/>
      <w:lvlJc w:val="left"/>
      <w:pPr>
        <w:ind w:left="2580" w:hanging="420"/>
      </w:pPr>
    </w:lvl>
    <w:lvl w:ilvl="5" w:tplc="E708A612" w:tentative="1">
      <w:start w:val="1"/>
      <w:numFmt w:val="lowerRoman"/>
      <w:lvlText w:val="%6."/>
      <w:lvlJc w:val="right"/>
      <w:pPr>
        <w:ind w:left="3000" w:hanging="420"/>
      </w:pPr>
    </w:lvl>
    <w:lvl w:ilvl="6" w:tplc="9914FDB2" w:tentative="1">
      <w:start w:val="1"/>
      <w:numFmt w:val="decimal"/>
      <w:lvlText w:val="%7."/>
      <w:lvlJc w:val="left"/>
      <w:pPr>
        <w:ind w:left="3420" w:hanging="420"/>
      </w:pPr>
    </w:lvl>
    <w:lvl w:ilvl="7" w:tplc="5ED6C54E" w:tentative="1">
      <w:start w:val="1"/>
      <w:numFmt w:val="lowerLetter"/>
      <w:lvlText w:val="%8)"/>
      <w:lvlJc w:val="left"/>
      <w:pPr>
        <w:ind w:left="3840" w:hanging="420"/>
      </w:pPr>
    </w:lvl>
    <w:lvl w:ilvl="8" w:tplc="ED186A1E" w:tentative="1">
      <w:start w:val="1"/>
      <w:numFmt w:val="lowerRoman"/>
      <w:lvlText w:val="%9."/>
      <w:lvlJc w:val="right"/>
      <w:pPr>
        <w:ind w:left="4260" w:hanging="420"/>
      </w:pPr>
    </w:lvl>
  </w:abstractNum>
  <w:abstractNum w:abstractNumId="4" w15:restartNumberingAfterBreak="0">
    <w:nsid w:val="247E28A3"/>
    <w:multiLevelType w:val="hybridMultilevel"/>
    <w:tmpl w:val="699A8FC6"/>
    <w:lvl w:ilvl="0" w:tplc="99AA77B0">
      <w:start w:val="1"/>
      <w:numFmt w:val="lowerRoman"/>
      <w:lvlText w:val="%1."/>
      <w:lvlJc w:val="right"/>
      <w:pPr>
        <w:ind w:left="900" w:hanging="420"/>
      </w:pPr>
      <w:rPr>
        <w:rFonts w:hint="eastAsia"/>
      </w:rPr>
    </w:lvl>
    <w:lvl w:ilvl="1" w:tplc="01F2DBC6" w:tentative="1">
      <w:start w:val="1"/>
      <w:numFmt w:val="lowerLetter"/>
      <w:lvlText w:val="%2)"/>
      <w:lvlJc w:val="left"/>
      <w:pPr>
        <w:ind w:left="840" w:hanging="420"/>
      </w:pPr>
    </w:lvl>
    <w:lvl w:ilvl="2" w:tplc="F934C608" w:tentative="1">
      <w:start w:val="1"/>
      <w:numFmt w:val="lowerRoman"/>
      <w:lvlText w:val="%3."/>
      <w:lvlJc w:val="right"/>
      <w:pPr>
        <w:ind w:left="1260" w:hanging="420"/>
      </w:pPr>
    </w:lvl>
    <w:lvl w:ilvl="3" w:tplc="CACA3882" w:tentative="1">
      <w:start w:val="1"/>
      <w:numFmt w:val="decimal"/>
      <w:lvlText w:val="%4."/>
      <w:lvlJc w:val="left"/>
      <w:pPr>
        <w:ind w:left="1680" w:hanging="420"/>
      </w:pPr>
    </w:lvl>
    <w:lvl w:ilvl="4" w:tplc="47D2B3BC" w:tentative="1">
      <w:start w:val="1"/>
      <w:numFmt w:val="lowerLetter"/>
      <w:lvlText w:val="%5)"/>
      <w:lvlJc w:val="left"/>
      <w:pPr>
        <w:ind w:left="2100" w:hanging="420"/>
      </w:pPr>
    </w:lvl>
    <w:lvl w:ilvl="5" w:tplc="CE2E62F0" w:tentative="1">
      <w:start w:val="1"/>
      <w:numFmt w:val="lowerRoman"/>
      <w:lvlText w:val="%6."/>
      <w:lvlJc w:val="right"/>
      <w:pPr>
        <w:ind w:left="2520" w:hanging="420"/>
      </w:pPr>
    </w:lvl>
    <w:lvl w:ilvl="6" w:tplc="FD7068AE" w:tentative="1">
      <w:start w:val="1"/>
      <w:numFmt w:val="decimal"/>
      <w:lvlText w:val="%7."/>
      <w:lvlJc w:val="left"/>
      <w:pPr>
        <w:ind w:left="2940" w:hanging="420"/>
      </w:pPr>
    </w:lvl>
    <w:lvl w:ilvl="7" w:tplc="3E9076B4" w:tentative="1">
      <w:start w:val="1"/>
      <w:numFmt w:val="lowerLetter"/>
      <w:lvlText w:val="%8)"/>
      <w:lvlJc w:val="left"/>
      <w:pPr>
        <w:ind w:left="3360" w:hanging="420"/>
      </w:pPr>
    </w:lvl>
    <w:lvl w:ilvl="8" w:tplc="7030840E" w:tentative="1">
      <w:start w:val="1"/>
      <w:numFmt w:val="lowerRoman"/>
      <w:lvlText w:val="%9."/>
      <w:lvlJc w:val="right"/>
      <w:pPr>
        <w:ind w:left="3780" w:hanging="420"/>
      </w:pPr>
    </w:lvl>
  </w:abstractNum>
  <w:abstractNum w:abstractNumId="5" w15:restartNumberingAfterBreak="0">
    <w:nsid w:val="49771199"/>
    <w:multiLevelType w:val="hybridMultilevel"/>
    <w:tmpl w:val="B406E642"/>
    <w:lvl w:ilvl="0" w:tplc="5E543BB4">
      <w:start w:val="1"/>
      <w:numFmt w:val="decimal"/>
      <w:lvlText w:val="%1）"/>
      <w:lvlJc w:val="left"/>
      <w:pPr>
        <w:ind w:left="840" w:hanging="360"/>
      </w:pPr>
      <w:rPr>
        <w:rFonts w:hint="default"/>
      </w:rPr>
    </w:lvl>
    <w:lvl w:ilvl="1" w:tplc="F45E4FBE" w:tentative="1">
      <w:start w:val="1"/>
      <w:numFmt w:val="lowerLetter"/>
      <w:lvlText w:val="%2)"/>
      <w:lvlJc w:val="left"/>
      <w:pPr>
        <w:ind w:left="1320" w:hanging="420"/>
      </w:pPr>
    </w:lvl>
    <w:lvl w:ilvl="2" w:tplc="BE1CF0EC" w:tentative="1">
      <w:start w:val="1"/>
      <w:numFmt w:val="lowerRoman"/>
      <w:lvlText w:val="%3."/>
      <w:lvlJc w:val="right"/>
      <w:pPr>
        <w:ind w:left="1740" w:hanging="420"/>
      </w:pPr>
    </w:lvl>
    <w:lvl w:ilvl="3" w:tplc="27F2D81C" w:tentative="1">
      <w:start w:val="1"/>
      <w:numFmt w:val="decimal"/>
      <w:lvlText w:val="%4."/>
      <w:lvlJc w:val="left"/>
      <w:pPr>
        <w:ind w:left="2160" w:hanging="420"/>
      </w:pPr>
    </w:lvl>
    <w:lvl w:ilvl="4" w:tplc="6B1A58F0" w:tentative="1">
      <w:start w:val="1"/>
      <w:numFmt w:val="lowerLetter"/>
      <w:lvlText w:val="%5)"/>
      <w:lvlJc w:val="left"/>
      <w:pPr>
        <w:ind w:left="2580" w:hanging="420"/>
      </w:pPr>
    </w:lvl>
    <w:lvl w:ilvl="5" w:tplc="6C7423C2" w:tentative="1">
      <w:start w:val="1"/>
      <w:numFmt w:val="lowerRoman"/>
      <w:lvlText w:val="%6."/>
      <w:lvlJc w:val="right"/>
      <w:pPr>
        <w:ind w:left="3000" w:hanging="420"/>
      </w:pPr>
    </w:lvl>
    <w:lvl w:ilvl="6" w:tplc="41609236" w:tentative="1">
      <w:start w:val="1"/>
      <w:numFmt w:val="decimal"/>
      <w:lvlText w:val="%7."/>
      <w:lvlJc w:val="left"/>
      <w:pPr>
        <w:ind w:left="3420" w:hanging="420"/>
      </w:pPr>
    </w:lvl>
    <w:lvl w:ilvl="7" w:tplc="AA983DBA" w:tentative="1">
      <w:start w:val="1"/>
      <w:numFmt w:val="lowerLetter"/>
      <w:lvlText w:val="%8)"/>
      <w:lvlJc w:val="left"/>
      <w:pPr>
        <w:ind w:left="3840" w:hanging="420"/>
      </w:pPr>
    </w:lvl>
    <w:lvl w:ilvl="8" w:tplc="8E247BAA" w:tentative="1">
      <w:start w:val="1"/>
      <w:numFmt w:val="lowerRoman"/>
      <w:lvlText w:val="%9."/>
      <w:lvlJc w:val="right"/>
      <w:pPr>
        <w:ind w:left="4260" w:hanging="420"/>
      </w:pPr>
    </w:lvl>
  </w:abstractNum>
  <w:abstractNum w:abstractNumId="6" w15:restartNumberingAfterBreak="0">
    <w:nsid w:val="51E216DA"/>
    <w:multiLevelType w:val="hybridMultilevel"/>
    <w:tmpl w:val="997A61C2"/>
    <w:lvl w:ilvl="0" w:tplc="DE16895C">
      <w:start w:val="1"/>
      <w:numFmt w:val="decimal"/>
      <w:lvlText w:val="（%1）"/>
      <w:lvlJc w:val="left"/>
      <w:pPr>
        <w:ind w:left="1200" w:hanging="720"/>
      </w:pPr>
      <w:rPr>
        <w:rFonts w:hint="default"/>
      </w:rPr>
    </w:lvl>
    <w:lvl w:ilvl="1" w:tplc="2DCE9C32" w:tentative="1">
      <w:start w:val="1"/>
      <w:numFmt w:val="lowerLetter"/>
      <w:lvlText w:val="%2)"/>
      <w:lvlJc w:val="left"/>
      <w:pPr>
        <w:ind w:left="1320" w:hanging="420"/>
      </w:pPr>
    </w:lvl>
    <w:lvl w:ilvl="2" w:tplc="D7E29CCE" w:tentative="1">
      <w:start w:val="1"/>
      <w:numFmt w:val="lowerRoman"/>
      <w:lvlText w:val="%3."/>
      <w:lvlJc w:val="right"/>
      <w:pPr>
        <w:ind w:left="1740" w:hanging="420"/>
      </w:pPr>
    </w:lvl>
    <w:lvl w:ilvl="3" w:tplc="F55432F4" w:tentative="1">
      <w:start w:val="1"/>
      <w:numFmt w:val="decimal"/>
      <w:lvlText w:val="%4."/>
      <w:lvlJc w:val="left"/>
      <w:pPr>
        <w:ind w:left="2160" w:hanging="420"/>
      </w:pPr>
    </w:lvl>
    <w:lvl w:ilvl="4" w:tplc="2EC6E180" w:tentative="1">
      <w:start w:val="1"/>
      <w:numFmt w:val="lowerLetter"/>
      <w:lvlText w:val="%5)"/>
      <w:lvlJc w:val="left"/>
      <w:pPr>
        <w:ind w:left="2580" w:hanging="420"/>
      </w:pPr>
    </w:lvl>
    <w:lvl w:ilvl="5" w:tplc="72B61856" w:tentative="1">
      <w:start w:val="1"/>
      <w:numFmt w:val="lowerRoman"/>
      <w:lvlText w:val="%6."/>
      <w:lvlJc w:val="right"/>
      <w:pPr>
        <w:ind w:left="3000" w:hanging="420"/>
      </w:pPr>
    </w:lvl>
    <w:lvl w:ilvl="6" w:tplc="F40ABF2C" w:tentative="1">
      <w:start w:val="1"/>
      <w:numFmt w:val="decimal"/>
      <w:lvlText w:val="%7."/>
      <w:lvlJc w:val="left"/>
      <w:pPr>
        <w:ind w:left="3420" w:hanging="420"/>
      </w:pPr>
    </w:lvl>
    <w:lvl w:ilvl="7" w:tplc="A8D0BDCA" w:tentative="1">
      <w:start w:val="1"/>
      <w:numFmt w:val="lowerLetter"/>
      <w:lvlText w:val="%8)"/>
      <w:lvlJc w:val="left"/>
      <w:pPr>
        <w:ind w:left="3840" w:hanging="420"/>
      </w:pPr>
    </w:lvl>
    <w:lvl w:ilvl="8" w:tplc="6516944A" w:tentative="1">
      <w:start w:val="1"/>
      <w:numFmt w:val="lowerRoman"/>
      <w:lvlText w:val="%9."/>
      <w:lvlJc w:val="right"/>
      <w:pPr>
        <w:ind w:left="4260" w:hanging="420"/>
      </w:pPr>
    </w:lvl>
  </w:abstractNum>
  <w:abstractNum w:abstractNumId="7" w15:restartNumberingAfterBreak="0">
    <w:nsid w:val="5A860B59"/>
    <w:multiLevelType w:val="hybridMultilevel"/>
    <w:tmpl w:val="72E65FD6"/>
    <w:lvl w:ilvl="0" w:tplc="2C866D3A">
      <w:start w:val="1"/>
      <w:numFmt w:val="decimalEnclosedCircle"/>
      <w:lvlText w:val="%1"/>
      <w:lvlJc w:val="left"/>
      <w:pPr>
        <w:ind w:left="360" w:hanging="360"/>
      </w:pPr>
      <w:rPr>
        <w:rFonts w:hint="default"/>
      </w:rPr>
    </w:lvl>
    <w:lvl w:ilvl="1" w:tplc="A140A054" w:tentative="1">
      <w:start w:val="1"/>
      <w:numFmt w:val="lowerLetter"/>
      <w:lvlText w:val="%2)"/>
      <w:lvlJc w:val="left"/>
      <w:pPr>
        <w:ind w:left="840" w:hanging="420"/>
      </w:pPr>
    </w:lvl>
    <w:lvl w:ilvl="2" w:tplc="2B1C1ABA" w:tentative="1">
      <w:start w:val="1"/>
      <w:numFmt w:val="lowerRoman"/>
      <w:lvlText w:val="%3."/>
      <w:lvlJc w:val="right"/>
      <w:pPr>
        <w:ind w:left="1260" w:hanging="420"/>
      </w:pPr>
    </w:lvl>
    <w:lvl w:ilvl="3" w:tplc="BC8002C6" w:tentative="1">
      <w:start w:val="1"/>
      <w:numFmt w:val="decimal"/>
      <w:lvlText w:val="%4."/>
      <w:lvlJc w:val="left"/>
      <w:pPr>
        <w:ind w:left="1680" w:hanging="420"/>
      </w:pPr>
    </w:lvl>
    <w:lvl w:ilvl="4" w:tplc="A2788476" w:tentative="1">
      <w:start w:val="1"/>
      <w:numFmt w:val="lowerLetter"/>
      <w:lvlText w:val="%5)"/>
      <w:lvlJc w:val="left"/>
      <w:pPr>
        <w:ind w:left="2100" w:hanging="420"/>
      </w:pPr>
    </w:lvl>
    <w:lvl w:ilvl="5" w:tplc="2002491A" w:tentative="1">
      <w:start w:val="1"/>
      <w:numFmt w:val="lowerRoman"/>
      <w:lvlText w:val="%6."/>
      <w:lvlJc w:val="right"/>
      <w:pPr>
        <w:ind w:left="2520" w:hanging="420"/>
      </w:pPr>
    </w:lvl>
    <w:lvl w:ilvl="6" w:tplc="F8E02A42" w:tentative="1">
      <w:start w:val="1"/>
      <w:numFmt w:val="decimal"/>
      <w:lvlText w:val="%7."/>
      <w:lvlJc w:val="left"/>
      <w:pPr>
        <w:ind w:left="2940" w:hanging="420"/>
      </w:pPr>
    </w:lvl>
    <w:lvl w:ilvl="7" w:tplc="7ECAA970" w:tentative="1">
      <w:start w:val="1"/>
      <w:numFmt w:val="lowerLetter"/>
      <w:lvlText w:val="%8)"/>
      <w:lvlJc w:val="left"/>
      <w:pPr>
        <w:ind w:left="3360" w:hanging="420"/>
      </w:pPr>
    </w:lvl>
    <w:lvl w:ilvl="8" w:tplc="AAEA4608" w:tentative="1">
      <w:start w:val="1"/>
      <w:numFmt w:val="lowerRoman"/>
      <w:lvlText w:val="%9."/>
      <w:lvlJc w:val="right"/>
      <w:pPr>
        <w:ind w:left="3780" w:hanging="420"/>
      </w:pPr>
    </w:lvl>
  </w:abstractNum>
  <w:abstractNum w:abstractNumId="8" w15:restartNumberingAfterBreak="0">
    <w:nsid w:val="5B28C0D8"/>
    <w:multiLevelType w:val="singleLevel"/>
    <w:tmpl w:val="5B28C0D8"/>
    <w:lvl w:ilvl="0">
      <w:start w:val="6"/>
      <w:numFmt w:val="chineseCounting"/>
      <w:suff w:val="nothing"/>
      <w:lvlText w:val="%1、"/>
      <w:lvlJc w:val="left"/>
    </w:lvl>
  </w:abstractNum>
  <w:abstractNum w:abstractNumId="9" w15:restartNumberingAfterBreak="0">
    <w:nsid w:val="5BD27EBD"/>
    <w:multiLevelType w:val="singleLevel"/>
    <w:tmpl w:val="5BD27EBD"/>
    <w:lvl w:ilvl="0">
      <w:start w:val="3"/>
      <w:numFmt w:val="chineseCounting"/>
      <w:suff w:val="nothing"/>
      <w:lvlText w:val="%1、"/>
      <w:lvlJc w:val="left"/>
    </w:lvl>
  </w:abstractNum>
  <w:abstractNum w:abstractNumId="10" w15:restartNumberingAfterBreak="0">
    <w:nsid w:val="614E4323"/>
    <w:multiLevelType w:val="hybridMultilevel"/>
    <w:tmpl w:val="BF34A04A"/>
    <w:lvl w:ilvl="0" w:tplc="BBA64790">
      <w:start w:val="1"/>
      <w:numFmt w:val="lowerRoman"/>
      <w:lvlText w:val="%1."/>
      <w:lvlJc w:val="right"/>
      <w:pPr>
        <w:ind w:left="900" w:hanging="420"/>
      </w:pPr>
    </w:lvl>
    <w:lvl w:ilvl="1" w:tplc="AD866DF8" w:tentative="1">
      <w:start w:val="1"/>
      <w:numFmt w:val="lowerLetter"/>
      <w:lvlText w:val="%2)"/>
      <w:lvlJc w:val="left"/>
      <w:pPr>
        <w:ind w:left="1320" w:hanging="420"/>
      </w:pPr>
    </w:lvl>
    <w:lvl w:ilvl="2" w:tplc="5ACEFFBE" w:tentative="1">
      <w:start w:val="1"/>
      <w:numFmt w:val="lowerRoman"/>
      <w:lvlText w:val="%3."/>
      <w:lvlJc w:val="right"/>
      <w:pPr>
        <w:ind w:left="1740" w:hanging="420"/>
      </w:pPr>
    </w:lvl>
    <w:lvl w:ilvl="3" w:tplc="B1FA3CA2" w:tentative="1">
      <w:start w:val="1"/>
      <w:numFmt w:val="decimal"/>
      <w:lvlText w:val="%4."/>
      <w:lvlJc w:val="left"/>
      <w:pPr>
        <w:ind w:left="2160" w:hanging="420"/>
      </w:pPr>
    </w:lvl>
    <w:lvl w:ilvl="4" w:tplc="9F529ACC" w:tentative="1">
      <w:start w:val="1"/>
      <w:numFmt w:val="lowerLetter"/>
      <w:lvlText w:val="%5)"/>
      <w:lvlJc w:val="left"/>
      <w:pPr>
        <w:ind w:left="2580" w:hanging="420"/>
      </w:pPr>
    </w:lvl>
    <w:lvl w:ilvl="5" w:tplc="1110DCD6" w:tentative="1">
      <w:start w:val="1"/>
      <w:numFmt w:val="lowerRoman"/>
      <w:lvlText w:val="%6."/>
      <w:lvlJc w:val="right"/>
      <w:pPr>
        <w:ind w:left="3000" w:hanging="420"/>
      </w:pPr>
    </w:lvl>
    <w:lvl w:ilvl="6" w:tplc="9F38B660" w:tentative="1">
      <w:start w:val="1"/>
      <w:numFmt w:val="decimal"/>
      <w:lvlText w:val="%7."/>
      <w:lvlJc w:val="left"/>
      <w:pPr>
        <w:ind w:left="3420" w:hanging="420"/>
      </w:pPr>
    </w:lvl>
    <w:lvl w:ilvl="7" w:tplc="22F8C7E8" w:tentative="1">
      <w:start w:val="1"/>
      <w:numFmt w:val="lowerLetter"/>
      <w:lvlText w:val="%8)"/>
      <w:lvlJc w:val="left"/>
      <w:pPr>
        <w:ind w:left="3840" w:hanging="420"/>
      </w:pPr>
    </w:lvl>
    <w:lvl w:ilvl="8" w:tplc="B8263F34" w:tentative="1">
      <w:start w:val="1"/>
      <w:numFmt w:val="lowerRoman"/>
      <w:lvlText w:val="%9."/>
      <w:lvlJc w:val="right"/>
      <w:pPr>
        <w:ind w:left="4260" w:hanging="420"/>
      </w:pPr>
    </w:lvl>
  </w:abstractNum>
  <w:abstractNum w:abstractNumId="11" w15:restartNumberingAfterBreak="0">
    <w:nsid w:val="7F7B5D5B"/>
    <w:multiLevelType w:val="hybridMultilevel"/>
    <w:tmpl w:val="AA78389E"/>
    <w:lvl w:ilvl="0" w:tplc="9F2E0ECA">
      <w:start w:val="1"/>
      <w:numFmt w:val="decimal"/>
      <w:lvlText w:val="%1、"/>
      <w:lvlJc w:val="left"/>
      <w:pPr>
        <w:ind w:left="840" w:hanging="360"/>
      </w:pPr>
      <w:rPr>
        <w:rFonts w:ascii="Times New Roman" w:eastAsia="宋体" w:hAnsi="Times New Roman" w:hint="default"/>
        <w:sz w:val="24"/>
      </w:rPr>
    </w:lvl>
    <w:lvl w:ilvl="1" w:tplc="B8EA5F42" w:tentative="1">
      <w:start w:val="1"/>
      <w:numFmt w:val="lowerLetter"/>
      <w:lvlText w:val="%2)"/>
      <w:lvlJc w:val="left"/>
      <w:pPr>
        <w:ind w:left="1320" w:hanging="420"/>
      </w:pPr>
    </w:lvl>
    <w:lvl w:ilvl="2" w:tplc="C8E81D76" w:tentative="1">
      <w:start w:val="1"/>
      <w:numFmt w:val="lowerRoman"/>
      <w:lvlText w:val="%3."/>
      <w:lvlJc w:val="right"/>
      <w:pPr>
        <w:ind w:left="1740" w:hanging="420"/>
      </w:pPr>
    </w:lvl>
    <w:lvl w:ilvl="3" w:tplc="81F28D58" w:tentative="1">
      <w:start w:val="1"/>
      <w:numFmt w:val="decimal"/>
      <w:lvlText w:val="%4."/>
      <w:lvlJc w:val="left"/>
      <w:pPr>
        <w:ind w:left="2160" w:hanging="420"/>
      </w:pPr>
    </w:lvl>
    <w:lvl w:ilvl="4" w:tplc="ED5CAAAE" w:tentative="1">
      <w:start w:val="1"/>
      <w:numFmt w:val="lowerLetter"/>
      <w:lvlText w:val="%5)"/>
      <w:lvlJc w:val="left"/>
      <w:pPr>
        <w:ind w:left="2580" w:hanging="420"/>
      </w:pPr>
    </w:lvl>
    <w:lvl w:ilvl="5" w:tplc="4E8231F8" w:tentative="1">
      <w:start w:val="1"/>
      <w:numFmt w:val="lowerRoman"/>
      <w:lvlText w:val="%6."/>
      <w:lvlJc w:val="right"/>
      <w:pPr>
        <w:ind w:left="3000" w:hanging="420"/>
      </w:pPr>
    </w:lvl>
    <w:lvl w:ilvl="6" w:tplc="6FC66F28" w:tentative="1">
      <w:start w:val="1"/>
      <w:numFmt w:val="decimal"/>
      <w:lvlText w:val="%7."/>
      <w:lvlJc w:val="left"/>
      <w:pPr>
        <w:ind w:left="3420" w:hanging="420"/>
      </w:pPr>
    </w:lvl>
    <w:lvl w:ilvl="7" w:tplc="B770C70E" w:tentative="1">
      <w:start w:val="1"/>
      <w:numFmt w:val="lowerLetter"/>
      <w:lvlText w:val="%8)"/>
      <w:lvlJc w:val="left"/>
      <w:pPr>
        <w:ind w:left="3840" w:hanging="420"/>
      </w:pPr>
    </w:lvl>
    <w:lvl w:ilvl="8" w:tplc="0DFA8F4C" w:tentative="1">
      <w:start w:val="1"/>
      <w:numFmt w:val="lowerRoman"/>
      <w:lvlText w:val="%9."/>
      <w:lvlJc w:val="right"/>
      <w:pPr>
        <w:ind w:left="4260" w:hanging="420"/>
      </w:pPr>
    </w:lvl>
  </w:abstractNum>
  <w:abstractNum w:abstractNumId="12" w15:restartNumberingAfterBreak="0">
    <w:nsid w:val="7FED6DA0"/>
    <w:multiLevelType w:val="hybridMultilevel"/>
    <w:tmpl w:val="DDC8C464"/>
    <w:lvl w:ilvl="0" w:tplc="9C2A8010">
      <w:start w:val="1"/>
      <w:numFmt w:val="lowerRoman"/>
      <w:lvlText w:val="%1."/>
      <w:lvlJc w:val="right"/>
      <w:pPr>
        <w:ind w:left="360" w:hanging="360"/>
      </w:pPr>
      <w:rPr>
        <w:rFonts w:hint="eastAsia"/>
      </w:rPr>
    </w:lvl>
    <w:lvl w:ilvl="1" w:tplc="4D8C693A" w:tentative="1">
      <w:start w:val="1"/>
      <w:numFmt w:val="lowerLetter"/>
      <w:lvlText w:val="%2)"/>
      <w:lvlJc w:val="left"/>
      <w:pPr>
        <w:ind w:left="840" w:hanging="420"/>
      </w:pPr>
    </w:lvl>
    <w:lvl w:ilvl="2" w:tplc="712879B6" w:tentative="1">
      <w:start w:val="1"/>
      <w:numFmt w:val="lowerRoman"/>
      <w:lvlText w:val="%3."/>
      <w:lvlJc w:val="right"/>
      <w:pPr>
        <w:ind w:left="1260" w:hanging="420"/>
      </w:pPr>
    </w:lvl>
    <w:lvl w:ilvl="3" w:tplc="D1F08CCC" w:tentative="1">
      <w:start w:val="1"/>
      <w:numFmt w:val="decimal"/>
      <w:lvlText w:val="%4."/>
      <w:lvlJc w:val="left"/>
      <w:pPr>
        <w:ind w:left="1680" w:hanging="420"/>
      </w:pPr>
    </w:lvl>
    <w:lvl w:ilvl="4" w:tplc="F7D0A830" w:tentative="1">
      <w:start w:val="1"/>
      <w:numFmt w:val="lowerLetter"/>
      <w:lvlText w:val="%5)"/>
      <w:lvlJc w:val="left"/>
      <w:pPr>
        <w:ind w:left="2100" w:hanging="420"/>
      </w:pPr>
    </w:lvl>
    <w:lvl w:ilvl="5" w:tplc="CD609488" w:tentative="1">
      <w:start w:val="1"/>
      <w:numFmt w:val="lowerRoman"/>
      <w:lvlText w:val="%6."/>
      <w:lvlJc w:val="right"/>
      <w:pPr>
        <w:ind w:left="2520" w:hanging="420"/>
      </w:pPr>
    </w:lvl>
    <w:lvl w:ilvl="6" w:tplc="A7EEBE44" w:tentative="1">
      <w:start w:val="1"/>
      <w:numFmt w:val="decimal"/>
      <w:lvlText w:val="%7."/>
      <w:lvlJc w:val="left"/>
      <w:pPr>
        <w:ind w:left="2940" w:hanging="420"/>
      </w:pPr>
    </w:lvl>
    <w:lvl w:ilvl="7" w:tplc="A91ADA70" w:tentative="1">
      <w:start w:val="1"/>
      <w:numFmt w:val="lowerLetter"/>
      <w:lvlText w:val="%8)"/>
      <w:lvlJc w:val="left"/>
      <w:pPr>
        <w:ind w:left="3360" w:hanging="420"/>
      </w:pPr>
    </w:lvl>
    <w:lvl w:ilvl="8" w:tplc="85DA6D88" w:tentative="1">
      <w:start w:val="1"/>
      <w:numFmt w:val="lowerRoman"/>
      <w:lvlText w:val="%9."/>
      <w:lvlJc w:val="right"/>
      <w:pPr>
        <w:ind w:left="3780" w:hanging="420"/>
      </w:pPr>
    </w:lvl>
  </w:abstractNum>
  <w:num w:numId="1">
    <w:abstractNumId w:val="1"/>
  </w:num>
  <w:num w:numId="2">
    <w:abstractNumId w:val="0"/>
  </w:num>
  <w:num w:numId="3">
    <w:abstractNumId w:val="11"/>
  </w:num>
  <w:num w:numId="4">
    <w:abstractNumId w:val="8"/>
  </w:num>
  <w:num w:numId="5">
    <w:abstractNumId w:val="9"/>
  </w:num>
  <w:num w:numId="6">
    <w:abstractNumId w:val="5"/>
  </w:num>
  <w:num w:numId="7">
    <w:abstractNumId w:val="6"/>
  </w:num>
  <w:num w:numId="8">
    <w:abstractNumId w:val="7"/>
  </w:num>
  <w:num w:numId="9">
    <w:abstractNumId w:val="10"/>
  </w:num>
  <w:num w:numId="10">
    <w:abstractNumId w:val="2"/>
  </w:num>
  <w:num w:numId="11">
    <w:abstractNumId w:val="3"/>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1C"/>
    <w:rsid w:val="00001954"/>
    <w:rsid w:val="000028C2"/>
    <w:rsid w:val="00002AF1"/>
    <w:rsid w:val="00002B2F"/>
    <w:rsid w:val="00004542"/>
    <w:rsid w:val="00011FA0"/>
    <w:rsid w:val="00014CA0"/>
    <w:rsid w:val="000150FF"/>
    <w:rsid w:val="000155E7"/>
    <w:rsid w:val="0001599A"/>
    <w:rsid w:val="000159FE"/>
    <w:rsid w:val="00015B61"/>
    <w:rsid w:val="00016D49"/>
    <w:rsid w:val="00016DFA"/>
    <w:rsid w:val="000175EB"/>
    <w:rsid w:val="00017955"/>
    <w:rsid w:val="00017E0A"/>
    <w:rsid w:val="0002079A"/>
    <w:rsid w:val="00020F04"/>
    <w:rsid w:val="00022669"/>
    <w:rsid w:val="0002292E"/>
    <w:rsid w:val="00026323"/>
    <w:rsid w:val="00032906"/>
    <w:rsid w:val="00032A5E"/>
    <w:rsid w:val="00035B3D"/>
    <w:rsid w:val="0003741E"/>
    <w:rsid w:val="000402C2"/>
    <w:rsid w:val="00040E8E"/>
    <w:rsid w:val="000421FF"/>
    <w:rsid w:val="000425E1"/>
    <w:rsid w:val="00044193"/>
    <w:rsid w:val="0004568D"/>
    <w:rsid w:val="000464E5"/>
    <w:rsid w:val="000466DC"/>
    <w:rsid w:val="0005235A"/>
    <w:rsid w:val="00055194"/>
    <w:rsid w:val="00056035"/>
    <w:rsid w:val="00056089"/>
    <w:rsid w:val="00056B5C"/>
    <w:rsid w:val="0005789D"/>
    <w:rsid w:val="0006098B"/>
    <w:rsid w:val="0006588B"/>
    <w:rsid w:val="000658E8"/>
    <w:rsid w:val="0006627D"/>
    <w:rsid w:val="00067658"/>
    <w:rsid w:val="000700C4"/>
    <w:rsid w:val="00072899"/>
    <w:rsid w:val="0007536D"/>
    <w:rsid w:val="00080338"/>
    <w:rsid w:val="0008313D"/>
    <w:rsid w:val="00085549"/>
    <w:rsid w:val="00085738"/>
    <w:rsid w:val="0008618A"/>
    <w:rsid w:val="000873A1"/>
    <w:rsid w:val="00087617"/>
    <w:rsid w:val="00090C27"/>
    <w:rsid w:val="00093C4F"/>
    <w:rsid w:val="00093E3D"/>
    <w:rsid w:val="000946A7"/>
    <w:rsid w:val="00094E37"/>
    <w:rsid w:val="000A0044"/>
    <w:rsid w:val="000A052A"/>
    <w:rsid w:val="000A4208"/>
    <w:rsid w:val="000A5432"/>
    <w:rsid w:val="000A5CA1"/>
    <w:rsid w:val="000A62B2"/>
    <w:rsid w:val="000B0373"/>
    <w:rsid w:val="000B2B5D"/>
    <w:rsid w:val="000B2D11"/>
    <w:rsid w:val="000B2E1D"/>
    <w:rsid w:val="000B3100"/>
    <w:rsid w:val="000B3A83"/>
    <w:rsid w:val="000B4B44"/>
    <w:rsid w:val="000B7698"/>
    <w:rsid w:val="000C24FA"/>
    <w:rsid w:val="000C2F1C"/>
    <w:rsid w:val="000C3747"/>
    <w:rsid w:val="000C66FB"/>
    <w:rsid w:val="000C7015"/>
    <w:rsid w:val="000C718F"/>
    <w:rsid w:val="000C7F98"/>
    <w:rsid w:val="000D214C"/>
    <w:rsid w:val="000D5B88"/>
    <w:rsid w:val="000E01C9"/>
    <w:rsid w:val="000E1B21"/>
    <w:rsid w:val="000E379A"/>
    <w:rsid w:val="000E46DC"/>
    <w:rsid w:val="000E7118"/>
    <w:rsid w:val="000F1390"/>
    <w:rsid w:val="000F2D8B"/>
    <w:rsid w:val="000F40A7"/>
    <w:rsid w:val="00100D07"/>
    <w:rsid w:val="00101D37"/>
    <w:rsid w:val="00103ED6"/>
    <w:rsid w:val="001079D9"/>
    <w:rsid w:val="001104AD"/>
    <w:rsid w:val="0011068C"/>
    <w:rsid w:val="00110ABD"/>
    <w:rsid w:val="00113269"/>
    <w:rsid w:val="001134B3"/>
    <w:rsid w:val="001134F4"/>
    <w:rsid w:val="001220F7"/>
    <w:rsid w:val="00123EB0"/>
    <w:rsid w:val="00126AE2"/>
    <w:rsid w:val="00126E79"/>
    <w:rsid w:val="001342AC"/>
    <w:rsid w:val="00134954"/>
    <w:rsid w:val="00135950"/>
    <w:rsid w:val="00137FA4"/>
    <w:rsid w:val="00141EF4"/>
    <w:rsid w:val="001514B8"/>
    <w:rsid w:val="001522C5"/>
    <w:rsid w:val="001531D8"/>
    <w:rsid w:val="00153D01"/>
    <w:rsid w:val="00153E62"/>
    <w:rsid w:val="00154395"/>
    <w:rsid w:val="00154557"/>
    <w:rsid w:val="00156A25"/>
    <w:rsid w:val="00157A3D"/>
    <w:rsid w:val="00157FB7"/>
    <w:rsid w:val="00163549"/>
    <w:rsid w:val="00164D53"/>
    <w:rsid w:val="0016555B"/>
    <w:rsid w:val="00167C81"/>
    <w:rsid w:val="00171C27"/>
    <w:rsid w:val="00172A27"/>
    <w:rsid w:val="0017353E"/>
    <w:rsid w:val="00174D1A"/>
    <w:rsid w:val="0017558A"/>
    <w:rsid w:val="0017750B"/>
    <w:rsid w:val="001813A6"/>
    <w:rsid w:val="00181B34"/>
    <w:rsid w:val="00182814"/>
    <w:rsid w:val="00184368"/>
    <w:rsid w:val="00184A75"/>
    <w:rsid w:val="00184B76"/>
    <w:rsid w:val="00187BCF"/>
    <w:rsid w:val="001945E9"/>
    <w:rsid w:val="00194664"/>
    <w:rsid w:val="00194873"/>
    <w:rsid w:val="00194E95"/>
    <w:rsid w:val="0019565B"/>
    <w:rsid w:val="0019649B"/>
    <w:rsid w:val="001A3218"/>
    <w:rsid w:val="001A4100"/>
    <w:rsid w:val="001A6810"/>
    <w:rsid w:val="001A7E11"/>
    <w:rsid w:val="001B0ACB"/>
    <w:rsid w:val="001B1027"/>
    <w:rsid w:val="001B23B7"/>
    <w:rsid w:val="001B3121"/>
    <w:rsid w:val="001B325B"/>
    <w:rsid w:val="001B6BAC"/>
    <w:rsid w:val="001C101B"/>
    <w:rsid w:val="001C1B8F"/>
    <w:rsid w:val="001C3ED3"/>
    <w:rsid w:val="001C4009"/>
    <w:rsid w:val="001C5537"/>
    <w:rsid w:val="001C6D6A"/>
    <w:rsid w:val="001C7B68"/>
    <w:rsid w:val="001D57AF"/>
    <w:rsid w:val="001E094C"/>
    <w:rsid w:val="001E0FF2"/>
    <w:rsid w:val="001E2C2E"/>
    <w:rsid w:val="001E2C42"/>
    <w:rsid w:val="001E505C"/>
    <w:rsid w:val="001E5A8A"/>
    <w:rsid w:val="001E5F81"/>
    <w:rsid w:val="001E5F9D"/>
    <w:rsid w:val="001F0926"/>
    <w:rsid w:val="001F0940"/>
    <w:rsid w:val="001F13BD"/>
    <w:rsid w:val="001F4B18"/>
    <w:rsid w:val="001F50E1"/>
    <w:rsid w:val="00204621"/>
    <w:rsid w:val="00206016"/>
    <w:rsid w:val="00210EF2"/>
    <w:rsid w:val="002172E3"/>
    <w:rsid w:val="002178D8"/>
    <w:rsid w:val="0022040F"/>
    <w:rsid w:val="00222562"/>
    <w:rsid w:val="00222DE4"/>
    <w:rsid w:val="0022352D"/>
    <w:rsid w:val="002254B5"/>
    <w:rsid w:val="002256A5"/>
    <w:rsid w:val="00226455"/>
    <w:rsid w:val="00226C42"/>
    <w:rsid w:val="00226F1E"/>
    <w:rsid w:val="0022787F"/>
    <w:rsid w:val="002306FB"/>
    <w:rsid w:val="00232C19"/>
    <w:rsid w:val="002340FE"/>
    <w:rsid w:val="00236F6C"/>
    <w:rsid w:val="0024308D"/>
    <w:rsid w:val="00244337"/>
    <w:rsid w:val="0024488F"/>
    <w:rsid w:val="00245241"/>
    <w:rsid w:val="00245AE5"/>
    <w:rsid w:val="0024674D"/>
    <w:rsid w:val="00251CDE"/>
    <w:rsid w:val="0026130F"/>
    <w:rsid w:val="00265178"/>
    <w:rsid w:val="00265761"/>
    <w:rsid w:val="00265EF4"/>
    <w:rsid w:val="00266093"/>
    <w:rsid w:val="0026618B"/>
    <w:rsid w:val="00270BAA"/>
    <w:rsid w:val="00270F39"/>
    <w:rsid w:val="00272A4E"/>
    <w:rsid w:val="002732E9"/>
    <w:rsid w:val="00273649"/>
    <w:rsid w:val="00273B12"/>
    <w:rsid w:val="0027418C"/>
    <w:rsid w:val="0027425C"/>
    <w:rsid w:val="0027450C"/>
    <w:rsid w:val="00276450"/>
    <w:rsid w:val="00280098"/>
    <w:rsid w:val="002807DE"/>
    <w:rsid w:val="00287487"/>
    <w:rsid w:val="00290F25"/>
    <w:rsid w:val="00291175"/>
    <w:rsid w:val="00291A05"/>
    <w:rsid w:val="00291FEB"/>
    <w:rsid w:val="00292622"/>
    <w:rsid w:val="00294077"/>
    <w:rsid w:val="00296254"/>
    <w:rsid w:val="00296F4D"/>
    <w:rsid w:val="002A05A3"/>
    <w:rsid w:val="002A0C0C"/>
    <w:rsid w:val="002A1130"/>
    <w:rsid w:val="002A20A0"/>
    <w:rsid w:val="002A2661"/>
    <w:rsid w:val="002A7FE4"/>
    <w:rsid w:val="002B0550"/>
    <w:rsid w:val="002B2641"/>
    <w:rsid w:val="002B3231"/>
    <w:rsid w:val="002B3A2D"/>
    <w:rsid w:val="002B6473"/>
    <w:rsid w:val="002B7554"/>
    <w:rsid w:val="002C077B"/>
    <w:rsid w:val="002C28E2"/>
    <w:rsid w:val="002C3D58"/>
    <w:rsid w:val="002C59D2"/>
    <w:rsid w:val="002C7792"/>
    <w:rsid w:val="002C7A62"/>
    <w:rsid w:val="002D0108"/>
    <w:rsid w:val="002D179A"/>
    <w:rsid w:val="002E0E13"/>
    <w:rsid w:val="002E3842"/>
    <w:rsid w:val="002E4136"/>
    <w:rsid w:val="002E426E"/>
    <w:rsid w:val="002E5101"/>
    <w:rsid w:val="002E6AA0"/>
    <w:rsid w:val="002F0CE1"/>
    <w:rsid w:val="002F0DB6"/>
    <w:rsid w:val="002F1A4D"/>
    <w:rsid w:val="002F2B69"/>
    <w:rsid w:val="002F4328"/>
    <w:rsid w:val="002F6E80"/>
    <w:rsid w:val="00303634"/>
    <w:rsid w:val="00303F10"/>
    <w:rsid w:val="003055ED"/>
    <w:rsid w:val="00311061"/>
    <w:rsid w:val="00313741"/>
    <w:rsid w:val="003150F0"/>
    <w:rsid w:val="00315C67"/>
    <w:rsid w:val="00317491"/>
    <w:rsid w:val="003211EB"/>
    <w:rsid w:val="00321B94"/>
    <w:rsid w:val="003228DF"/>
    <w:rsid w:val="0032387B"/>
    <w:rsid w:val="00323CC5"/>
    <w:rsid w:val="00326283"/>
    <w:rsid w:val="00327601"/>
    <w:rsid w:val="00330637"/>
    <w:rsid w:val="00331B24"/>
    <w:rsid w:val="00331C52"/>
    <w:rsid w:val="00331EA2"/>
    <w:rsid w:val="003326C2"/>
    <w:rsid w:val="00335397"/>
    <w:rsid w:val="003400CA"/>
    <w:rsid w:val="003406CD"/>
    <w:rsid w:val="00341D5C"/>
    <w:rsid w:val="00341FC3"/>
    <w:rsid w:val="00343C18"/>
    <w:rsid w:val="00343C28"/>
    <w:rsid w:val="00351F38"/>
    <w:rsid w:val="003528FF"/>
    <w:rsid w:val="00352A25"/>
    <w:rsid w:val="00353D96"/>
    <w:rsid w:val="00357A08"/>
    <w:rsid w:val="0036095B"/>
    <w:rsid w:val="003610DF"/>
    <w:rsid w:val="00361178"/>
    <w:rsid w:val="00362023"/>
    <w:rsid w:val="003620CD"/>
    <w:rsid w:val="00363E10"/>
    <w:rsid w:val="003641E7"/>
    <w:rsid w:val="00365108"/>
    <w:rsid w:val="00365600"/>
    <w:rsid w:val="00365EDD"/>
    <w:rsid w:val="00367042"/>
    <w:rsid w:val="00370B76"/>
    <w:rsid w:val="00370BD6"/>
    <w:rsid w:val="003713B6"/>
    <w:rsid w:val="003714C1"/>
    <w:rsid w:val="003740DF"/>
    <w:rsid w:val="003767F5"/>
    <w:rsid w:val="00376907"/>
    <w:rsid w:val="00376F9E"/>
    <w:rsid w:val="00377337"/>
    <w:rsid w:val="00381934"/>
    <w:rsid w:val="003824C3"/>
    <w:rsid w:val="003867ED"/>
    <w:rsid w:val="00386F6A"/>
    <w:rsid w:val="003879AF"/>
    <w:rsid w:val="003923A1"/>
    <w:rsid w:val="0039392C"/>
    <w:rsid w:val="00394BC7"/>
    <w:rsid w:val="00394DD2"/>
    <w:rsid w:val="00394E0E"/>
    <w:rsid w:val="003964CB"/>
    <w:rsid w:val="003A0664"/>
    <w:rsid w:val="003A0ABC"/>
    <w:rsid w:val="003A10C0"/>
    <w:rsid w:val="003A12CE"/>
    <w:rsid w:val="003A1D99"/>
    <w:rsid w:val="003A2E79"/>
    <w:rsid w:val="003A3FA4"/>
    <w:rsid w:val="003A4187"/>
    <w:rsid w:val="003A4239"/>
    <w:rsid w:val="003A7966"/>
    <w:rsid w:val="003B036E"/>
    <w:rsid w:val="003B1DF6"/>
    <w:rsid w:val="003B46E8"/>
    <w:rsid w:val="003B6E3D"/>
    <w:rsid w:val="003C19BF"/>
    <w:rsid w:val="003C4530"/>
    <w:rsid w:val="003C5B82"/>
    <w:rsid w:val="003C6467"/>
    <w:rsid w:val="003C716B"/>
    <w:rsid w:val="003C776C"/>
    <w:rsid w:val="003D04B3"/>
    <w:rsid w:val="003D1894"/>
    <w:rsid w:val="003D3631"/>
    <w:rsid w:val="003D449F"/>
    <w:rsid w:val="003D4BDD"/>
    <w:rsid w:val="003D52D6"/>
    <w:rsid w:val="003D5619"/>
    <w:rsid w:val="003E125D"/>
    <w:rsid w:val="003E1A42"/>
    <w:rsid w:val="003E26B4"/>
    <w:rsid w:val="003E34DD"/>
    <w:rsid w:val="003E4FDF"/>
    <w:rsid w:val="003E5C66"/>
    <w:rsid w:val="003E64EF"/>
    <w:rsid w:val="003F33E0"/>
    <w:rsid w:val="003F47B0"/>
    <w:rsid w:val="003F485F"/>
    <w:rsid w:val="003F4C16"/>
    <w:rsid w:val="004030CE"/>
    <w:rsid w:val="00412396"/>
    <w:rsid w:val="00415036"/>
    <w:rsid w:val="00416341"/>
    <w:rsid w:val="00421136"/>
    <w:rsid w:val="00421F42"/>
    <w:rsid w:val="00424437"/>
    <w:rsid w:val="00425210"/>
    <w:rsid w:val="00425551"/>
    <w:rsid w:val="0043083F"/>
    <w:rsid w:val="004356A1"/>
    <w:rsid w:val="004365C5"/>
    <w:rsid w:val="0044015A"/>
    <w:rsid w:val="004421C9"/>
    <w:rsid w:val="00443A86"/>
    <w:rsid w:val="00443E05"/>
    <w:rsid w:val="00443F0B"/>
    <w:rsid w:val="004455DC"/>
    <w:rsid w:val="0045064E"/>
    <w:rsid w:val="004514D2"/>
    <w:rsid w:val="004523BC"/>
    <w:rsid w:val="00454167"/>
    <w:rsid w:val="00456A74"/>
    <w:rsid w:val="004630AA"/>
    <w:rsid w:val="00463C2E"/>
    <w:rsid w:val="0046493A"/>
    <w:rsid w:val="004663BB"/>
    <w:rsid w:val="00471FB4"/>
    <w:rsid w:val="004748B5"/>
    <w:rsid w:val="00476147"/>
    <w:rsid w:val="00477B2F"/>
    <w:rsid w:val="004811D9"/>
    <w:rsid w:val="00481428"/>
    <w:rsid w:val="004817AB"/>
    <w:rsid w:val="00482449"/>
    <w:rsid w:val="00483A5A"/>
    <w:rsid w:val="004850E4"/>
    <w:rsid w:val="00485743"/>
    <w:rsid w:val="00485D6C"/>
    <w:rsid w:val="00490162"/>
    <w:rsid w:val="00493E9A"/>
    <w:rsid w:val="00493F38"/>
    <w:rsid w:val="0049407A"/>
    <w:rsid w:val="004A065C"/>
    <w:rsid w:val="004A23AD"/>
    <w:rsid w:val="004A3A39"/>
    <w:rsid w:val="004A44C9"/>
    <w:rsid w:val="004B0446"/>
    <w:rsid w:val="004B0880"/>
    <w:rsid w:val="004B0FF1"/>
    <w:rsid w:val="004B342D"/>
    <w:rsid w:val="004B3B51"/>
    <w:rsid w:val="004B404F"/>
    <w:rsid w:val="004B638A"/>
    <w:rsid w:val="004B7E43"/>
    <w:rsid w:val="004C101A"/>
    <w:rsid w:val="004C27BF"/>
    <w:rsid w:val="004C5BE8"/>
    <w:rsid w:val="004D00B8"/>
    <w:rsid w:val="004D087E"/>
    <w:rsid w:val="004D3CB7"/>
    <w:rsid w:val="004D3E32"/>
    <w:rsid w:val="004D4076"/>
    <w:rsid w:val="004D4597"/>
    <w:rsid w:val="004D4B2E"/>
    <w:rsid w:val="004D6E32"/>
    <w:rsid w:val="004D7EE6"/>
    <w:rsid w:val="004E2FB8"/>
    <w:rsid w:val="004E3748"/>
    <w:rsid w:val="004E71CB"/>
    <w:rsid w:val="004E7693"/>
    <w:rsid w:val="004F235D"/>
    <w:rsid w:val="004F2BF3"/>
    <w:rsid w:val="004F67DD"/>
    <w:rsid w:val="004F7634"/>
    <w:rsid w:val="0050234F"/>
    <w:rsid w:val="00503385"/>
    <w:rsid w:val="005042D7"/>
    <w:rsid w:val="005043A3"/>
    <w:rsid w:val="0050527D"/>
    <w:rsid w:val="005071AC"/>
    <w:rsid w:val="005073F9"/>
    <w:rsid w:val="00510629"/>
    <w:rsid w:val="00510B3C"/>
    <w:rsid w:val="005143CF"/>
    <w:rsid w:val="00517CC1"/>
    <w:rsid w:val="00521E6C"/>
    <w:rsid w:val="0052235B"/>
    <w:rsid w:val="00522B7E"/>
    <w:rsid w:val="005232C1"/>
    <w:rsid w:val="00523C59"/>
    <w:rsid w:val="00523FEC"/>
    <w:rsid w:val="0052416A"/>
    <w:rsid w:val="00524736"/>
    <w:rsid w:val="005250A6"/>
    <w:rsid w:val="0052660B"/>
    <w:rsid w:val="00527B93"/>
    <w:rsid w:val="00530000"/>
    <w:rsid w:val="0053172D"/>
    <w:rsid w:val="00531E8F"/>
    <w:rsid w:val="00533313"/>
    <w:rsid w:val="00535DB8"/>
    <w:rsid w:val="00540F6C"/>
    <w:rsid w:val="00541E09"/>
    <w:rsid w:val="00542910"/>
    <w:rsid w:val="005465C9"/>
    <w:rsid w:val="00546837"/>
    <w:rsid w:val="005501BA"/>
    <w:rsid w:val="005509A2"/>
    <w:rsid w:val="00551A51"/>
    <w:rsid w:val="00552979"/>
    <w:rsid w:val="00552F78"/>
    <w:rsid w:val="005538E7"/>
    <w:rsid w:val="00554DDC"/>
    <w:rsid w:val="00555AAE"/>
    <w:rsid w:val="00555F55"/>
    <w:rsid w:val="0056021E"/>
    <w:rsid w:val="00560C71"/>
    <w:rsid w:val="00563105"/>
    <w:rsid w:val="00563823"/>
    <w:rsid w:val="00563EDF"/>
    <w:rsid w:val="00565504"/>
    <w:rsid w:val="0056786D"/>
    <w:rsid w:val="0057438E"/>
    <w:rsid w:val="00574A8F"/>
    <w:rsid w:val="005754B9"/>
    <w:rsid w:val="00580F61"/>
    <w:rsid w:val="00581C8A"/>
    <w:rsid w:val="0058322B"/>
    <w:rsid w:val="00584CC5"/>
    <w:rsid w:val="00586283"/>
    <w:rsid w:val="00586CEE"/>
    <w:rsid w:val="00593116"/>
    <w:rsid w:val="005940EA"/>
    <w:rsid w:val="00595FE1"/>
    <w:rsid w:val="00597C83"/>
    <w:rsid w:val="005A1356"/>
    <w:rsid w:val="005A5B49"/>
    <w:rsid w:val="005A6629"/>
    <w:rsid w:val="005A7366"/>
    <w:rsid w:val="005B0BA9"/>
    <w:rsid w:val="005B6D99"/>
    <w:rsid w:val="005C0E89"/>
    <w:rsid w:val="005C4915"/>
    <w:rsid w:val="005C5F32"/>
    <w:rsid w:val="005C7EF8"/>
    <w:rsid w:val="005D24E6"/>
    <w:rsid w:val="005D357F"/>
    <w:rsid w:val="005D59A2"/>
    <w:rsid w:val="005E32FD"/>
    <w:rsid w:val="005E4871"/>
    <w:rsid w:val="005E55B6"/>
    <w:rsid w:val="005E6D9B"/>
    <w:rsid w:val="005F295D"/>
    <w:rsid w:val="005F4650"/>
    <w:rsid w:val="005F5458"/>
    <w:rsid w:val="005F6173"/>
    <w:rsid w:val="005F6A5D"/>
    <w:rsid w:val="00604F22"/>
    <w:rsid w:val="00605A97"/>
    <w:rsid w:val="00606858"/>
    <w:rsid w:val="00606AAD"/>
    <w:rsid w:val="00607E89"/>
    <w:rsid w:val="0061051E"/>
    <w:rsid w:val="006136FE"/>
    <w:rsid w:val="00614B17"/>
    <w:rsid w:val="006152B7"/>
    <w:rsid w:val="00616766"/>
    <w:rsid w:val="00624BF6"/>
    <w:rsid w:val="006273F7"/>
    <w:rsid w:val="00632B7F"/>
    <w:rsid w:val="00632C60"/>
    <w:rsid w:val="00632E88"/>
    <w:rsid w:val="0063350D"/>
    <w:rsid w:val="00640B38"/>
    <w:rsid w:val="00647016"/>
    <w:rsid w:val="00647A6D"/>
    <w:rsid w:val="00647C44"/>
    <w:rsid w:val="006544C5"/>
    <w:rsid w:val="006552E2"/>
    <w:rsid w:val="00657286"/>
    <w:rsid w:val="00657FE9"/>
    <w:rsid w:val="006606FE"/>
    <w:rsid w:val="00661030"/>
    <w:rsid w:val="00662BED"/>
    <w:rsid w:val="00663D33"/>
    <w:rsid w:val="00664530"/>
    <w:rsid w:val="006664CC"/>
    <w:rsid w:val="006701B3"/>
    <w:rsid w:val="006702F3"/>
    <w:rsid w:val="00670F9A"/>
    <w:rsid w:val="006722F4"/>
    <w:rsid w:val="0067274B"/>
    <w:rsid w:val="00673663"/>
    <w:rsid w:val="00673AB4"/>
    <w:rsid w:val="00673FAE"/>
    <w:rsid w:val="00674B1A"/>
    <w:rsid w:val="00674F82"/>
    <w:rsid w:val="006762BB"/>
    <w:rsid w:val="00676302"/>
    <w:rsid w:val="0067672B"/>
    <w:rsid w:val="006806D8"/>
    <w:rsid w:val="00682C24"/>
    <w:rsid w:val="0068352C"/>
    <w:rsid w:val="00683692"/>
    <w:rsid w:val="0068377D"/>
    <w:rsid w:val="0068450B"/>
    <w:rsid w:val="00690CAC"/>
    <w:rsid w:val="00693FD0"/>
    <w:rsid w:val="00695E69"/>
    <w:rsid w:val="00697450"/>
    <w:rsid w:val="006A0656"/>
    <w:rsid w:val="006A3901"/>
    <w:rsid w:val="006A6358"/>
    <w:rsid w:val="006B12D5"/>
    <w:rsid w:val="006B1598"/>
    <w:rsid w:val="006B233E"/>
    <w:rsid w:val="006B3B2A"/>
    <w:rsid w:val="006B40EE"/>
    <w:rsid w:val="006B4786"/>
    <w:rsid w:val="006B561D"/>
    <w:rsid w:val="006B6543"/>
    <w:rsid w:val="006C15DB"/>
    <w:rsid w:val="006C298A"/>
    <w:rsid w:val="006C2B3B"/>
    <w:rsid w:val="006C2FDA"/>
    <w:rsid w:val="006C374A"/>
    <w:rsid w:val="006C37EA"/>
    <w:rsid w:val="006C3A3D"/>
    <w:rsid w:val="006C5211"/>
    <w:rsid w:val="006C53C8"/>
    <w:rsid w:val="006C55EB"/>
    <w:rsid w:val="006C5EAA"/>
    <w:rsid w:val="006C6740"/>
    <w:rsid w:val="006D0015"/>
    <w:rsid w:val="006D0092"/>
    <w:rsid w:val="006D1817"/>
    <w:rsid w:val="006D4A86"/>
    <w:rsid w:val="006D73F3"/>
    <w:rsid w:val="006E0DF1"/>
    <w:rsid w:val="006E19F8"/>
    <w:rsid w:val="006E2E24"/>
    <w:rsid w:val="006E2EE7"/>
    <w:rsid w:val="006E51E3"/>
    <w:rsid w:val="006E6751"/>
    <w:rsid w:val="006F0EAB"/>
    <w:rsid w:val="006F367C"/>
    <w:rsid w:val="006F58F9"/>
    <w:rsid w:val="006F6CF3"/>
    <w:rsid w:val="006F7791"/>
    <w:rsid w:val="00700086"/>
    <w:rsid w:val="0070265C"/>
    <w:rsid w:val="0070377A"/>
    <w:rsid w:val="00704AD1"/>
    <w:rsid w:val="00705388"/>
    <w:rsid w:val="007067D5"/>
    <w:rsid w:val="00706B2C"/>
    <w:rsid w:val="00707F30"/>
    <w:rsid w:val="00711976"/>
    <w:rsid w:val="007123BE"/>
    <w:rsid w:val="00713766"/>
    <w:rsid w:val="00713AC7"/>
    <w:rsid w:val="00716341"/>
    <w:rsid w:val="00717B1F"/>
    <w:rsid w:val="00720089"/>
    <w:rsid w:val="00720353"/>
    <w:rsid w:val="00720B4C"/>
    <w:rsid w:val="00722540"/>
    <w:rsid w:val="0072493D"/>
    <w:rsid w:val="0072734B"/>
    <w:rsid w:val="00730D8B"/>
    <w:rsid w:val="00733D7A"/>
    <w:rsid w:val="00733E69"/>
    <w:rsid w:val="0073694A"/>
    <w:rsid w:val="00736C1C"/>
    <w:rsid w:val="00740E45"/>
    <w:rsid w:val="00741C03"/>
    <w:rsid w:val="00742CD2"/>
    <w:rsid w:val="00743628"/>
    <w:rsid w:val="00745B02"/>
    <w:rsid w:val="0074618C"/>
    <w:rsid w:val="0074622F"/>
    <w:rsid w:val="00750672"/>
    <w:rsid w:val="00750958"/>
    <w:rsid w:val="00751CC2"/>
    <w:rsid w:val="00751D0B"/>
    <w:rsid w:val="007521DD"/>
    <w:rsid w:val="00753830"/>
    <w:rsid w:val="00756F36"/>
    <w:rsid w:val="00762D25"/>
    <w:rsid w:val="00763F7A"/>
    <w:rsid w:val="00766335"/>
    <w:rsid w:val="00766F9D"/>
    <w:rsid w:val="0077581E"/>
    <w:rsid w:val="00776A3D"/>
    <w:rsid w:val="00777266"/>
    <w:rsid w:val="00783AC6"/>
    <w:rsid w:val="007864FC"/>
    <w:rsid w:val="00794106"/>
    <w:rsid w:val="00794462"/>
    <w:rsid w:val="007A0C54"/>
    <w:rsid w:val="007A101D"/>
    <w:rsid w:val="007A1A99"/>
    <w:rsid w:val="007A2B34"/>
    <w:rsid w:val="007A3944"/>
    <w:rsid w:val="007A3D17"/>
    <w:rsid w:val="007A6E51"/>
    <w:rsid w:val="007A7475"/>
    <w:rsid w:val="007A7AFA"/>
    <w:rsid w:val="007B016B"/>
    <w:rsid w:val="007B032F"/>
    <w:rsid w:val="007B102F"/>
    <w:rsid w:val="007B141F"/>
    <w:rsid w:val="007B162A"/>
    <w:rsid w:val="007B1F6E"/>
    <w:rsid w:val="007B217A"/>
    <w:rsid w:val="007B3E3E"/>
    <w:rsid w:val="007B5B0D"/>
    <w:rsid w:val="007B7A3D"/>
    <w:rsid w:val="007C03F5"/>
    <w:rsid w:val="007C0B84"/>
    <w:rsid w:val="007C36EF"/>
    <w:rsid w:val="007D114A"/>
    <w:rsid w:val="007D12A7"/>
    <w:rsid w:val="007D24FC"/>
    <w:rsid w:val="007D4FC2"/>
    <w:rsid w:val="007E0C49"/>
    <w:rsid w:val="007E1CEB"/>
    <w:rsid w:val="007E53EB"/>
    <w:rsid w:val="007E5EDC"/>
    <w:rsid w:val="007E6761"/>
    <w:rsid w:val="007E73E5"/>
    <w:rsid w:val="007F0056"/>
    <w:rsid w:val="007F0B88"/>
    <w:rsid w:val="007F100A"/>
    <w:rsid w:val="007F116F"/>
    <w:rsid w:val="007F2532"/>
    <w:rsid w:val="007F29DF"/>
    <w:rsid w:val="007F317B"/>
    <w:rsid w:val="007F74BB"/>
    <w:rsid w:val="007F7644"/>
    <w:rsid w:val="0080005F"/>
    <w:rsid w:val="008023A4"/>
    <w:rsid w:val="008025B8"/>
    <w:rsid w:val="0080292B"/>
    <w:rsid w:val="008034F4"/>
    <w:rsid w:val="00803E5F"/>
    <w:rsid w:val="00804D8A"/>
    <w:rsid w:val="00805681"/>
    <w:rsid w:val="00811A98"/>
    <w:rsid w:val="00812BE2"/>
    <w:rsid w:val="00812C24"/>
    <w:rsid w:val="008157DE"/>
    <w:rsid w:val="008161AC"/>
    <w:rsid w:val="00816F47"/>
    <w:rsid w:val="00817FDD"/>
    <w:rsid w:val="00820176"/>
    <w:rsid w:val="008215E7"/>
    <w:rsid w:val="0082282E"/>
    <w:rsid w:val="0082397C"/>
    <w:rsid w:val="00823C3C"/>
    <w:rsid w:val="008279AF"/>
    <w:rsid w:val="00830F84"/>
    <w:rsid w:val="00831C63"/>
    <w:rsid w:val="00833278"/>
    <w:rsid w:val="008349B9"/>
    <w:rsid w:val="00835199"/>
    <w:rsid w:val="008367AC"/>
    <w:rsid w:val="0084171C"/>
    <w:rsid w:val="008420CD"/>
    <w:rsid w:val="00845783"/>
    <w:rsid w:val="00846146"/>
    <w:rsid w:val="00847110"/>
    <w:rsid w:val="00847DAC"/>
    <w:rsid w:val="0085381D"/>
    <w:rsid w:val="00855765"/>
    <w:rsid w:val="00860643"/>
    <w:rsid w:val="0086073C"/>
    <w:rsid w:val="0086158D"/>
    <w:rsid w:val="00862569"/>
    <w:rsid w:val="00862736"/>
    <w:rsid w:val="00866A73"/>
    <w:rsid w:val="00871345"/>
    <w:rsid w:val="00871A2B"/>
    <w:rsid w:val="008736AF"/>
    <w:rsid w:val="0087576D"/>
    <w:rsid w:val="008768E9"/>
    <w:rsid w:val="0087743D"/>
    <w:rsid w:val="00880897"/>
    <w:rsid w:val="00880D13"/>
    <w:rsid w:val="008822BE"/>
    <w:rsid w:val="00883174"/>
    <w:rsid w:val="00883CD5"/>
    <w:rsid w:val="00885664"/>
    <w:rsid w:val="008863E5"/>
    <w:rsid w:val="008867E2"/>
    <w:rsid w:val="00886F29"/>
    <w:rsid w:val="008872D3"/>
    <w:rsid w:val="00893D84"/>
    <w:rsid w:val="00894D35"/>
    <w:rsid w:val="00896085"/>
    <w:rsid w:val="008960D3"/>
    <w:rsid w:val="008972FF"/>
    <w:rsid w:val="00897AE2"/>
    <w:rsid w:val="008A0C44"/>
    <w:rsid w:val="008A1936"/>
    <w:rsid w:val="008A29AF"/>
    <w:rsid w:val="008A3C1F"/>
    <w:rsid w:val="008A664D"/>
    <w:rsid w:val="008B377E"/>
    <w:rsid w:val="008B5538"/>
    <w:rsid w:val="008B69A5"/>
    <w:rsid w:val="008C2DB4"/>
    <w:rsid w:val="008C2F9E"/>
    <w:rsid w:val="008C3F2C"/>
    <w:rsid w:val="008C5E8F"/>
    <w:rsid w:val="008D13E6"/>
    <w:rsid w:val="008D1538"/>
    <w:rsid w:val="008D4520"/>
    <w:rsid w:val="008D7430"/>
    <w:rsid w:val="008E1E18"/>
    <w:rsid w:val="008E46DA"/>
    <w:rsid w:val="008E4C18"/>
    <w:rsid w:val="008E4ED9"/>
    <w:rsid w:val="008F2229"/>
    <w:rsid w:val="008F6482"/>
    <w:rsid w:val="008F6EDD"/>
    <w:rsid w:val="008F70D1"/>
    <w:rsid w:val="008F74FC"/>
    <w:rsid w:val="008F7AF3"/>
    <w:rsid w:val="00901A11"/>
    <w:rsid w:val="00901A71"/>
    <w:rsid w:val="00902A83"/>
    <w:rsid w:val="00903651"/>
    <w:rsid w:val="0090469D"/>
    <w:rsid w:val="009068AA"/>
    <w:rsid w:val="00906972"/>
    <w:rsid w:val="009101C5"/>
    <w:rsid w:val="00910434"/>
    <w:rsid w:val="0091238F"/>
    <w:rsid w:val="00913DA3"/>
    <w:rsid w:val="00913F4F"/>
    <w:rsid w:val="00913F7B"/>
    <w:rsid w:val="00916542"/>
    <w:rsid w:val="00920BE7"/>
    <w:rsid w:val="00921A56"/>
    <w:rsid w:val="00923276"/>
    <w:rsid w:val="009239A3"/>
    <w:rsid w:val="00923E84"/>
    <w:rsid w:val="00932484"/>
    <w:rsid w:val="00932558"/>
    <w:rsid w:val="0093355C"/>
    <w:rsid w:val="00937205"/>
    <w:rsid w:val="00937C1D"/>
    <w:rsid w:val="00940EDA"/>
    <w:rsid w:val="00942271"/>
    <w:rsid w:val="00943759"/>
    <w:rsid w:val="009503C7"/>
    <w:rsid w:val="00950B05"/>
    <w:rsid w:val="0095289B"/>
    <w:rsid w:val="00953B50"/>
    <w:rsid w:val="0095765F"/>
    <w:rsid w:val="00957CC9"/>
    <w:rsid w:val="00963AB1"/>
    <w:rsid w:val="009667E1"/>
    <w:rsid w:val="00970AC2"/>
    <w:rsid w:val="00970CA9"/>
    <w:rsid w:val="009713AD"/>
    <w:rsid w:val="00971A90"/>
    <w:rsid w:val="00971EF9"/>
    <w:rsid w:val="009727EA"/>
    <w:rsid w:val="00972A6E"/>
    <w:rsid w:val="009732FF"/>
    <w:rsid w:val="00976551"/>
    <w:rsid w:val="00976BDA"/>
    <w:rsid w:val="00990F3B"/>
    <w:rsid w:val="00991559"/>
    <w:rsid w:val="009920F3"/>
    <w:rsid w:val="0099256E"/>
    <w:rsid w:val="009928AE"/>
    <w:rsid w:val="00992F6A"/>
    <w:rsid w:val="00995394"/>
    <w:rsid w:val="00995CA2"/>
    <w:rsid w:val="00996C25"/>
    <w:rsid w:val="009975BB"/>
    <w:rsid w:val="009A025A"/>
    <w:rsid w:val="009A278E"/>
    <w:rsid w:val="009A3A3C"/>
    <w:rsid w:val="009A40E8"/>
    <w:rsid w:val="009A6A18"/>
    <w:rsid w:val="009A6A40"/>
    <w:rsid w:val="009B6E72"/>
    <w:rsid w:val="009B6EE2"/>
    <w:rsid w:val="009B7163"/>
    <w:rsid w:val="009C2AB5"/>
    <w:rsid w:val="009C2F87"/>
    <w:rsid w:val="009C639F"/>
    <w:rsid w:val="009D0008"/>
    <w:rsid w:val="009D0482"/>
    <w:rsid w:val="009D1365"/>
    <w:rsid w:val="009D1B7F"/>
    <w:rsid w:val="009D3B83"/>
    <w:rsid w:val="009D60D5"/>
    <w:rsid w:val="009D63C8"/>
    <w:rsid w:val="009E1B30"/>
    <w:rsid w:val="009E24C1"/>
    <w:rsid w:val="009E26D0"/>
    <w:rsid w:val="009E3B0F"/>
    <w:rsid w:val="009E420A"/>
    <w:rsid w:val="009E4A27"/>
    <w:rsid w:val="009E5EC6"/>
    <w:rsid w:val="009F19ED"/>
    <w:rsid w:val="009F3032"/>
    <w:rsid w:val="009F55A0"/>
    <w:rsid w:val="009F5843"/>
    <w:rsid w:val="00A00CA5"/>
    <w:rsid w:val="00A04077"/>
    <w:rsid w:val="00A040FC"/>
    <w:rsid w:val="00A0476B"/>
    <w:rsid w:val="00A04EA3"/>
    <w:rsid w:val="00A101F6"/>
    <w:rsid w:val="00A10B1C"/>
    <w:rsid w:val="00A11684"/>
    <w:rsid w:val="00A126B2"/>
    <w:rsid w:val="00A127F2"/>
    <w:rsid w:val="00A14248"/>
    <w:rsid w:val="00A15ACF"/>
    <w:rsid w:val="00A16B61"/>
    <w:rsid w:val="00A16F99"/>
    <w:rsid w:val="00A17CCE"/>
    <w:rsid w:val="00A17CE4"/>
    <w:rsid w:val="00A21E18"/>
    <w:rsid w:val="00A2402C"/>
    <w:rsid w:val="00A247DD"/>
    <w:rsid w:val="00A264EE"/>
    <w:rsid w:val="00A2663F"/>
    <w:rsid w:val="00A26828"/>
    <w:rsid w:val="00A30DC0"/>
    <w:rsid w:val="00A31230"/>
    <w:rsid w:val="00A35B5E"/>
    <w:rsid w:val="00A373BD"/>
    <w:rsid w:val="00A413AB"/>
    <w:rsid w:val="00A43A9A"/>
    <w:rsid w:val="00A43AD4"/>
    <w:rsid w:val="00A43CEF"/>
    <w:rsid w:val="00A448FB"/>
    <w:rsid w:val="00A45211"/>
    <w:rsid w:val="00A46E4F"/>
    <w:rsid w:val="00A47C76"/>
    <w:rsid w:val="00A52567"/>
    <w:rsid w:val="00A53761"/>
    <w:rsid w:val="00A53CE6"/>
    <w:rsid w:val="00A65193"/>
    <w:rsid w:val="00A6741A"/>
    <w:rsid w:val="00A67AD3"/>
    <w:rsid w:val="00A71A93"/>
    <w:rsid w:val="00A71FF8"/>
    <w:rsid w:val="00A73902"/>
    <w:rsid w:val="00A73925"/>
    <w:rsid w:val="00A756D5"/>
    <w:rsid w:val="00A75C27"/>
    <w:rsid w:val="00A76823"/>
    <w:rsid w:val="00A76B1E"/>
    <w:rsid w:val="00A77A39"/>
    <w:rsid w:val="00A77AE9"/>
    <w:rsid w:val="00A814A0"/>
    <w:rsid w:val="00A81503"/>
    <w:rsid w:val="00A8233D"/>
    <w:rsid w:val="00A85D20"/>
    <w:rsid w:val="00A86332"/>
    <w:rsid w:val="00A86DD4"/>
    <w:rsid w:val="00A91504"/>
    <w:rsid w:val="00A92F62"/>
    <w:rsid w:val="00A93449"/>
    <w:rsid w:val="00A946EB"/>
    <w:rsid w:val="00AA1A0C"/>
    <w:rsid w:val="00AA1CAC"/>
    <w:rsid w:val="00AA2810"/>
    <w:rsid w:val="00AA3C89"/>
    <w:rsid w:val="00AA4452"/>
    <w:rsid w:val="00AA6315"/>
    <w:rsid w:val="00AB18F1"/>
    <w:rsid w:val="00AB26E0"/>
    <w:rsid w:val="00AB27CB"/>
    <w:rsid w:val="00AB2C05"/>
    <w:rsid w:val="00AB4A8C"/>
    <w:rsid w:val="00AB71F2"/>
    <w:rsid w:val="00AC49A3"/>
    <w:rsid w:val="00AC4A36"/>
    <w:rsid w:val="00AC5613"/>
    <w:rsid w:val="00AC759D"/>
    <w:rsid w:val="00AD490B"/>
    <w:rsid w:val="00AE1E32"/>
    <w:rsid w:val="00AE3458"/>
    <w:rsid w:val="00AE36DC"/>
    <w:rsid w:val="00AE6103"/>
    <w:rsid w:val="00AE6A6D"/>
    <w:rsid w:val="00AF00F9"/>
    <w:rsid w:val="00AF0888"/>
    <w:rsid w:val="00AF0D99"/>
    <w:rsid w:val="00AF30BD"/>
    <w:rsid w:val="00AF31D5"/>
    <w:rsid w:val="00AF6810"/>
    <w:rsid w:val="00B0001B"/>
    <w:rsid w:val="00B034AA"/>
    <w:rsid w:val="00B03EB7"/>
    <w:rsid w:val="00B0594C"/>
    <w:rsid w:val="00B05FC7"/>
    <w:rsid w:val="00B06E05"/>
    <w:rsid w:val="00B13ECD"/>
    <w:rsid w:val="00B172BA"/>
    <w:rsid w:val="00B17B36"/>
    <w:rsid w:val="00B2034A"/>
    <w:rsid w:val="00B2097F"/>
    <w:rsid w:val="00B22512"/>
    <w:rsid w:val="00B23268"/>
    <w:rsid w:val="00B244A2"/>
    <w:rsid w:val="00B277C1"/>
    <w:rsid w:val="00B3323E"/>
    <w:rsid w:val="00B342DE"/>
    <w:rsid w:val="00B34F9B"/>
    <w:rsid w:val="00B36F96"/>
    <w:rsid w:val="00B42022"/>
    <w:rsid w:val="00B459FB"/>
    <w:rsid w:val="00B50249"/>
    <w:rsid w:val="00B50840"/>
    <w:rsid w:val="00B54885"/>
    <w:rsid w:val="00B54994"/>
    <w:rsid w:val="00B5539B"/>
    <w:rsid w:val="00B574DB"/>
    <w:rsid w:val="00B60816"/>
    <w:rsid w:val="00B60C8A"/>
    <w:rsid w:val="00B610A6"/>
    <w:rsid w:val="00B63FF0"/>
    <w:rsid w:val="00B6498C"/>
    <w:rsid w:val="00B67E2C"/>
    <w:rsid w:val="00B70F05"/>
    <w:rsid w:val="00B76C5D"/>
    <w:rsid w:val="00B77E6E"/>
    <w:rsid w:val="00B809BA"/>
    <w:rsid w:val="00B80F15"/>
    <w:rsid w:val="00B820B0"/>
    <w:rsid w:val="00B83268"/>
    <w:rsid w:val="00B83905"/>
    <w:rsid w:val="00B84510"/>
    <w:rsid w:val="00B84A37"/>
    <w:rsid w:val="00B92430"/>
    <w:rsid w:val="00B92EB2"/>
    <w:rsid w:val="00B9384A"/>
    <w:rsid w:val="00B96267"/>
    <w:rsid w:val="00B97730"/>
    <w:rsid w:val="00BA10E0"/>
    <w:rsid w:val="00BA415B"/>
    <w:rsid w:val="00BA5954"/>
    <w:rsid w:val="00BA66B6"/>
    <w:rsid w:val="00BA6891"/>
    <w:rsid w:val="00BA6DDE"/>
    <w:rsid w:val="00BB3744"/>
    <w:rsid w:val="00BB378E"/>
    <w:rsid w:val="00BB4EF7"/>
    <w:rsid w:val="00BB5CE1"/>
    <w:rsid w:val="00BB73A2"/>
    <w:rsid w:val="00BB778B"/>
    <w:rsid w:val="00BC072A"/>
    <w:rsid w:val="00BC0911"/>
    <w:rsid w:val="00BC1B69"/>
    <w:rsid w:val="00BC289B"/>
    <w:rsid w:val="00BD100A"/>
    <w:rsid w:val="00BD119E"/>
    <w:rsid w:val="00BD1BD8"/>
    <w:rsid w:val="00BD1D83"/>
    <w:rsid w:val="00BD4B19"/>
    <w:rsid w:val="00BD4D60"/>
    <w:rsid w:val="00BD719F"/>
    <w:rsid w:val="00BE0549"/>
    <w:rsid w:val="00BE09AE"/>
    <w:rsid w:val="00BE1AF4"/>
    <w:rsid w:val="00BE2BB3"/>
    <w:rsid w:val="00BE3099"/>
    <w:rsid w:val="00BE4003"/>
    <w:rsid w:val="00BE4FD6"/>
    <w:rsid w:val="00BE66C4"/>
    <w:rsid w:val="00BE685E"/>
    <w:rsid w:val="00BE6E15"/>
    <w:rsid w:val="00BE7122"/>
    <w:rsid w:val="00BF1F0A"/>
    <w:rsid w:val="00BF223F"/>
    <w:rsid w:val="00BF4C43"/>
    <w:rsid w:val="00BF78C9"/>
    <w:rsid w:val="00C00695"/>
    <w:rsid w:val="00C00CBF"/>
    <w:rsid w:val="00C018F5"/>
    <w:rsid w:val="00C019B9"/>
    <w:rsid w:val="00C01A01"/>
    <w:rsid w:val="00C03454"/>
    <w:rsid w:val="00C0710F"/>
    <w:rsid w:val="00C17D71"/>
    <w:rsid w:val="00C20C6E"/>
    <w:rsid w:val="00C2130B"/>
    <w:rsid w:val="00C21371"/>
    <w:rsid w:val="00C21495"/>
    <w:rsid w:val="00C23AC6"/>
    <w:rsid w:val="00C23E97"/>
    <w:rsid w:val="00C25578"/>
    <w:rsid w:val="00C26CB0"/>
    <w:rsid w:val="00C360FE"/>
    <w:rsid w:val="00C4213E"/>
    <w:rsid w:val="00C44D73"/>
    <w:rsid w:val="00C47105"/>
    <w:rsid w:val="00C47560"/>
    <w:rsid w:val="00C4784C"/>
    <w:rsid w:val="00C51F13"/>
    <w:rsid w:val="00C526B4"/>
    <w:rsid w:val="00C5320A"/>
    <w:rsid w:val="00C53D24"/>
    <w:rsid w:val="00C55CEE"/>
    <w:rsid w:val="00C6148C"/>
    <w:rsid w:val="00C61C6F"/>
    <w:rsid w:val="00C65273"/>
    <w:rsid w:val="00C66418"/>
    <w:rsid w:val="00C66692"/>
    <w:rsid w:val="00C66C7B"/>
    <w:rsid w:val="00C71C36"/>
    <w:rsid w:val="00C7320E"/>
    <w:rsid w:val="00C73369"/>
    <w:rsid w:val="00C73ADA"/>
    <w:rsid w:val="00C74069"/>
    <w:rsid w:val="00C741DA"/>
    <w:rsid w:val="00C74259"/>
    <w:rsid w:val="00C75746"/>
    <w:rsid w:val="00C81211"/>
    <w:rsid w:val="00C81B0F"/>
    <w:rsid w:val="00C826CC"/>
    <w:rsid w:val="00C83C20"/>
    <w:rsid w:val="00C842FD"/>
    <w:rsid w:val="00C84DE6"/>
    <w:rsid w:val="00C867B4"/>
    <w:rsid w:val="00C87382"/>
    <w:rsid w:val="00C902E6"/>
    <w:rsid w:val="00C912C3"/>
    <w:rsid w:val="00C918E4"/>
    <w:rsid w:val="00C92258"/>
    <w:rsid w:val="00C922B7"/>
    <w:rsid w:val="00C92A27"/>
    <w:rsid w:val="00C92AE6"/>
    <w:rsid w:val="00C9344B"/>
    <w:rsid w:val="00C94EA1"/>
    <w:rsid w:val="00C95BA3"/>
    <w:rsid w:val="00C9787F"/>
    <w:rsid w:val="00C97932"/>
    <w:rsid w:val="00C97D3B"/>
    <w:rsid w:val="00C97ED7"/>
    <w:rsid w:val="00CA1800"/>
    <w:rsid w:val="00CB0EBD"/>
    <w:rsid w:val="00CB1D5F"/>
    <w:rsid w:val="00CC0712"/>
    <w:rsid w:val="00CC0EBA"/>
    <w:rsid w:val="00CC22D6"/>
    <w:rsid w:val="00CC29A6"/>
    <w:rsid w:val="00CC2C72"/>
    <w:rsid w:val="00CC4558"/>
    <w:rsid w:val="00CC54FA"/>
    <w:rsid w:val="00CC5521"/>
    <w:rsid w:val="00CC55EB"/>
    <w:rsid w:val="00CC65E9"/>
    <w:rsid w:val="00CD17F0"/>
    <w:rsid w:val="00CD26F0"/>
    <w:rsid w:val="00CD2A9F"/>
    <w:rsid w:val="00CD2ABA"/>
    <w:rsid w:val="00CD401C"/>
    <w:rsid w:val="00CE017B"/>
    <w:rsid w:val="00CE2DCF"/>
    <w:rsid w:val="00CE3418"/>
    <w:rsid w:val="00CE4BD7"/>
    <w:rsid w:val="00CE641C"/>
    <w:rsid w:val="00CF06E2"/>
    <w:rsid w:val="00CF1F08"/>
    <w:rsid w:val="00CF2C35"/>
    <w:rsid w:val="00CF2EBA"/>
    <w:rsid w:val="00CF2FC1"/>
    <w:rsid w:val="00CF5873"/>
    <w:rsid w:val="00D00F42"/>
    <w:rsid w:val="00D03DB7"/>
    <w:rsid w:val="00D04541"/>
    <w:rsid w:val="00D048E8"/>
    <w:rsid w:val="00D057A2"/>
    <w:rsid w:val="00D059D7"/>
    <w:rsid w:val="00D07CF1"/>
    <w:rsid w:val="00D1180D"/>
    <w:rsid w:val="00D138FA"/>
    <w:rsid w:val="00D14200"/>
    <w:rsid w:val="00D146B0"/>
    <w:rsid w:val="00D15392"/>
    <w:rsid w:val="00D17421"/>
    <w:rsid w:val="00D208B0"/>
    <w:rsid w:val="00D21B7C"/>
    <w:rsid w:val="00D27105"/>
    <w:rsid w:val="00D27E40"/>
    <w:rsid w:val="00D27F30"/>
    <w:rsid w:val="00D30937"/>
    <w:rsid w:val="00D345EB"/>
    <w:rsid w:val="00D40ACF"/>
    <w:rsid w:val="00D425C1"/>
    <w:rsid w:val="00D517C0"/>
    <w:rsid w:val="00D53CBF"/>
    <w:rsid w:val="00D54E76"/>
    <w:rsid w:val="00D56097"/>
    <w:rsid w:val="00D57FB4"/>
    <w:rsid w:val="00D60175"/>
    <w:rsid w:val="00D603B4"/>
    <w:rsid w:val="00D6219D"/>
    <w:rsid w:val="00D6225B"/>
    <w:rsid w:val="00D63801"/>
    <w:rsid w:val="00D6456C"/>
    <w:rsid w:val="00D7179F"/>
    <w:rsid w:val="00D72128"/>
    <w:rsid w:val="00D7391A"/>
    <w:rsid w:val="00D74235"/>
    <w:rsid w:val="00D74DD5"/>
    <w:rsid w:val="00D7798C"/>
    <w:rsid w:val="00D809B2"/>
    <w:rsid w:val="00D80BD2"/>
    <w:rsid w:val="00D8240B"/>
    <w:rsid w:val="00D82E50"/>
    <w:rsid w:val="00D87B67"/>
    <w:rsid w:val="00D917AA"/>
    <w:rsid w:val="00D960B9"/>
    <w:rsid w:val="00D96A71"/>
    <w:rsid w:val="00D9751D"/>
    <w:rsid w:val="00DA1106"/>
    <w:rsid w:val="00DA3198"/>
    <w:rsid w:val="00DA369A"/>
    <w:rsid w:val="00DA638A"/>
    <w:rsid w:val="00DA6D09"/>
    <w:rsid w:val="00DA7439"/>
    <w:rsid w:val="00DB3C13"/>
    <w:rsid w:val="00DB526D"/>
    <w:rsid w:val="00DB5E02"/>
    <w:rsid w:val="00DB7A97"/>
    <w:rsid w:val="00DC539C"/>
    <w:rsid w:val="00DD37F2"/>
    <w:rsid w:val="00DE5BF1"/>
    <w:rsid w:val="00DE5C4B"/>
    <w:rsid w:val="00DE6386"/>
    <w:rsid w:val="00DF1B61"/>
    <w:rsid w:val="00DF3DB8"/>
    <w:rsid w:val="00DF4B7F"/>
    <w:rsid w:val="00DF6CF0"/>
    <w:rsid w:val="00E0176F"/>
    <w:rsid w:val="00E07B47"/>
    <w:rsid w:val="00E07D18"/>
    <w:rsid w:val="00E1258E"/>
    <w:rsid w:val="00E143BF"/>
    <w:rsid w:val="00E165B0"/>
    <w:rsid w:val="00E1661D"/>
    <w:rsid w:val="00E20617"/>
    <w:rsid w:val="00E20AE4"/>
    <w:rsid w:val="00E223F9"/>
    <w:rsid w:val="00E22A22"/>
    <w:rsid w:val="00E242BB"/>
    <w:rsid w:val="00E249F1"/>
    <w:rsid w:val="00E24F4F"/>
    <w:rsid w:val="00E2616B"/>
    <w:rsid w:val="00E27023"/>
    <w:rsid w:val="00E31FDD"/>
    <w:rsid w:val="00E322B4"/>
    <w:rsid w:val="00E3728B"/>
    <w:rsid w:val="00E372AD"/>
    <w:rsid w:val="00E37971"/>
    <w:rsid w:val="00E37D54"/>
    <w:rsid w:val="00E409A6"/>
    <w:rsid w:val="00E40F32"/>
    <w:rsid w:val="00E421C1"/>
    <w:rsid w:val="00E4245F"/>
    <w:rsid w:val="00E4287B"/>
    <w:rsid w:val="00E4411D"/>
    <w:rsid w:val="00E44BCC"/>
    <w:rsid w:val="00E45FA9"/>
    <w:rsid w:val="00E46C4A"/>
    <w:rsid w:val="00E5297C"/>
    <w:rsid w:val="00E568FB"/>
    <w:rsid w:val="00E60498"/>
    <w:rsid w:val="00E60E89"/>
    <w:rsid w:val="00E63A24"/>
    <w:rsid w:val="00E63BED"/>
    <w:rsid w:val="00E64934"/>
    <w:rsid w:val="00E649D8"/>
    <w:rsid w:val="00E6569A"/>
    <w:rsid w:val="00E6694F"/>
    <w:rsid w:val="00E72494"/>
    <w:rsid w:val="00E72B77"/>
    <w:rsid w:val="00E72BE2"/>
    <w:rsid w:val="00E739A6"/>
    <w:rsid w:val="00E73AC4"/>
    <w:rsid w:val="00E742BE"/>
    <w:rsid w:val="00E74484"/>
    <w:rsid w:val="00E754DE"/>
    <w:rsid w:val="00E75A64"/>
    <w:rsid w:val="00E75D28"/>
    <w:rsid w:val="00E809AB"/>
    <w:rsid w:val="00E817A1"/>
    <w:rsid w:val="00E83DDB"/>
    <w:rsid w:val="00E83FC3"/>
    <w:rsid w:val="00E843E1"/>
    <w:rsid w:val="00E85F8A"/>
    <w:rsid w:val="00E8685D"/>
    <w:rsid w:val="00E86A72"/>
    <w:rsid w:val="00E9123E"/>
    <w:rsid w:val="00E91E01"/>
    <w:rsid w:val="00E9201B"/>
    <w:rsid w:val="00E92A9D"/>
    <w:rsid w:val="00E94635"/>
    <w:rsid w:val="00E94AED"/>
    <w:rsid w:val="00E94E19"/>
    <w:rsid w:val="00E9574F"/>
    <w:rsid w:val="00E95BD9"/>
    <w:rsid w:val="00E97D4D"/>
    <w:rsid w:val="00EA1731"/>
    <w:rsid w:val="00EA1BCB"/>
    <w:rsid w:val="00EA3C5E"/>
    <w:rsid w:val="00EA510A"/>
    <w:rsid w:val="00EA6335"/>
    <w:rsid w:val="00EB0F58"/>
    <w:rsid w:val="00EB22B0"/>
    <w:rsid w:val="00EB4528"/>
    <w:rsid w:val="00EB4987"/>
    <w:rsid w:val="00EB5A25"/>
    <w:rsid w:val="00EB7E47"/>
    <w:rsid w:val="00EC03A4"/>
    <w:rsid w:val="00EC0580"/>
    <w:rsid w:val="00EC0720"/>
    <w:rsid w:val="00EC1F01"/>
    <w:rsid w:val="00EC7309"/>
    <w:rsid w:val="00ED2461"/>
    <w:rsid w:val="00ED4B30"/>
    <w:rsid w:val="00ED6959"/>
    <w:rsid w:val="00ED7C5D"/>
    <w:rsid w:val="00EE0AAC"/>
    <w:rsid w:val="00EE0F8E"/>
    <w:rsid w:val="00EE12C1"/>
    <w:rsid w:val="00EE2D8D"/>
    <w:rsid w:val="00EE4A7D"/>
    <w:rsid w:val="00EE4FCC"/>
    <w:rsid w:val="00EE59DF"/>
    <w:rsid w:val="00EE669A"/>
    <w:rsid w:val="00EE6ED5"/>
    <w:rsid w:val="00EF454C"/>
    <w:rsid w:val="00F00E3A"/>
    <w:rsid w:val="00F020FA"/>
    <w:rsid w:val="00F021A7"/>
    <w:rsid w:val="00F03624"/>
    <w:rsid w:val="00F04A60"/>
    <w:rsid w:val="00F04B0C"/>
    <w:rsid w:val="00F04CBC"/>
    <w:rsid w:val="00F05186"/>
    <w:rsid w:val="00F05B4B"/>
    <w:rsid w:val="00F067B1"/>
    <w:rsid w:val="00F07ACC"/>
    <w:rsid w:val="00F10054"/>
    <w:rsid w:val="00F10AF9"/>
    <w:rsid w:val="00F11A44"/>
    <w:rsid w:val="00F12513"/>
    <w:rsid w:val="00F13154"/>
    <w:rsid w:val="00F14601"/>
    <w:rsid w:val="00F1497B"/>
    <w:rsid w:val="00F1511F"/>
    <w:rsid w:val="00F15308"/>
    <w:rsid w:val="00F1542E"/>
    <w:rsid w:val="00F16121"/>
    <w:rsid w:val="00F17477"/>
    <w:rsid w:val="00F240C3"/>
    <w:rsid w:val="00F2510E"/>
    <w:rsid w:val="00F26717"/>
    <w:rsid w:val="00F30019"/>
    <w:rsid w:val="00F319E1"/>
    <w:rsid w:val="00F3325C"/>
    <w:rsid w:val="00F33507"/>
    <w:rsid w:val="00F3405A"/>
    <w:rsid w:val="00F340CE"/>
    <w:rsid w:val="00F34AE8"/>
    <w:rsid w:val="00F37A92"/>
    <w:rsid w:val="00F41A59"/>
    <w:rsid w:val="00F4489F"/>
    <w:rsid w:val="00F46BDF"/>
    <w:rsid w:val="00F47FCF"/>
    <w:rsid w:val="00F500A4"/>
    <w:rsid w:val="00F51791"/>
    <w:rsid w:val="00F560DB"/>
    <w:rsid w:val="00F57C1D"/>
    <w:rsid w:val="00F60672"/>
    <w:rsid w:val="00F6076D"/>
    <w:rsid w:val="00F61A6A"/>
    <w:rsid w:val="00F62920"/>
    <w:rsid w:val="00F666CA"/>
    <w:rsid w:val="00F7142F"/>
    <w:rsid w:val="00F7275B"/>
    <w:rsid w:val="00F75A5D"/>
    <w:rsid w:val="00F7689C"/>
    <w:rsid w:val="00F800CB"/>
    <w:rsid w:val="00F80661"/>
    <w:rsid w:val="00F8212D"/>
    <w:rsid w:val="00F84049"/>
    <w:rsid w:val="00F869FC"/>
    <w:rsid w:val="00F93D1B"/>
    <w:rsid w:val="00F94848"/>
    <w:rsid w:val="00F95E09"/>
    <w:rsid w:val="00FA61FC"/>
    <w:rsid w:val="00FA6673"/>
    <w:rsid w:val="00FA6FBF"/>
    <w:rsid w:val="00FB272A"/>
    <w:rsid w:val="00FB297C"/>
    <w:rsid w:val="00FB3B64"/>
    <w:rsid w:val="00FB3BE3"/>
    <w:rsid w:val="00FB42F8"/>
    <w:rsid w:val="00FB4359"/>
    <w:rsid w:val="00FB47CC"/>
    <w:rsid w:val="00FB4C97"/>
    <w:rsid w:val="00FB508E"/>
    <w:rsid w:val="00FB5469"/>
    <w:rsid w:val="00FC0161"/>
    <w:rsid w:val="00FC1898"/>
    <w:rsid w:val="00FC63A7"/>
    <w:rsid w:val="00FC6AFF"/>
    <w:rsid w:val="00FD07A4"/>
    <w:rsid w:val="00FD32E4"/>
    <w:rsid w:val="00FD6030"/>
    <w:rsid w:val="00FD743D"/>
    <w:rsid w:val="00FE04EE"/>
    <w:rsid w:val="00FE13E2"/>
    <w:rsid w:val="00FE387E"/>
    <w:rsid w:val="00FE42E5"/>
    <w:rsid w:val="00FE66B1"/>
    <w:rsid w:val="00FE769B"/>
    <w:rsid w:val="00FF146D"/>
    <w:rsid w:val="00FF2104"/>
    <w:rsid w:val="00FF3B47"/>
    <w:rsid w:val="00FF41B3"/>
    <w:rsid w:val="00FF516D"/>
    <w:rsid w:val="00FF5DC4"/>
    <w:rsid w:val="00FF7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1F772E"/>
  <w15:docId w15:val="{63F14928-9661-47A7-B4C5-65DF553E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rsid w:val="004D087E"/>
    <w:pPr>
      <w:keepNext/>
      <w:keepLines/>
      <w:spacing w:before="120" w:after="120" w:line="360" w:lineRule="auto"/>
      <w:outlineLvl w:val="0"/>
    </w:pPr>
    <w:rPr>
      <w:rFonts w:ascii="宋体"/>
      <w:b/>
      <w:color w:val="000000"/>
      <w:kern w:val="0"/>
      <w:sz w:val="24"/>
    </w:rPr>
  </w:style>
  <w:style w:type="paragraph" w:styleId="2">
    <w:name w:val="heading 2"/>
    <w:basedOn w:val="a"/>
    <w:next w:val="a"/>
    <w:qFormat/>
    <w:rsid w:val="004D087E"/>
    <w:pPr>
      <w:keepNext/>
      <w:keepLines/>
      <w:spacing w:before="260" w:after="260" w:line="413" w:lineRule="auto"/>
      <w:outlineLvl w:val="1"/>
    </w:pPr>
    <w:rPr>
      <w:rFonts w:ascii="Arial" w:eastAsia="黑体" w:hAnsi="Arial"/>
      <w:b/>
      <w:sz w:val="32"/>
    </w:rPr>
  </w:style>
  <w:style w:type="paragraph" w:styleId="3">
    <w:name w:val="heading 3"/>
    <w:basedOn w:val="a"/>
    <w:next w:val="a"/>
    <w:qFormat/>
    <w:rsid w:val="004D087E"/>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正文文本 字符"/>
    <w:link w:val="a4"/>
    <w:rPr>
      <w:rFonts w:ascii="宋体"/>
      <w:lang w:val="x-none" w:eastAsia="x-none"/>
    </w:rPr>
  </w:style>
  <w:style w:type="character" w:styleId="a5">
    <w:name w:val="annotation reference"/>
    <w:rPr>
      <w:sz w:val="21"/>
    </w:rPr>
  </w:style>
  <w:style w:type="character" w:customStyle="1" w:styleId="unnamed11">
    <w:name w:val="unnamed11"/>
    <w:rPr>
      <w:rFonts w:ascii="宋体" w:eastAsia="宋体" w:hAnsi="宋体" w:hint="eastAsia"/>
      <w:sz w:val="18"/>
    </w:rPr>
  </w:style>
  <w:style w:type="character" w:styleId="a6">
    <w:name w:val="footnote reference"/>
    <w:rPr>
      <w:vertAlign w:val="superscript"/>
    </w:rPr>
  </w:style>
  <w:style w:type="character" w:customStyle="1" w:styleId="a7">
    <w:name w:val="标题 字符"/>
    <w:link w:val="a8"/>
    <w:rPr>
      <w:rFonts w:ascii="Cambria" w:hAnsi="Cambria"/>
      <w:b/>
      <w:kern w:val="2"/>
      <w:sz w:val="32"/>
      <w:lang w:val="x-none" w:eastAsia="x-none"/>
    </w:rPr>
  </w:style>
  <w:style w:type="character" w:customStyle="1" w:styleId="a9">
    <w:name w:val="页眉 字符"/>
    <w:link w:val="aa"/>
    <w:uiPriority w:val="99"/>
    <w:rPr>
      <w:kern w:val="2"/>
      <w:sz w:val="18"/>
    </w:rPr>
  </w:style>
  <w:style w:type="character" w:customStyle="1" w:styleId="read">
    <w:name w:val="read"/>
    <w:basedOn w:val="a0"/>
    <w:qFormat/>
    <w:rsid w:val="004D087E"/>
  </w:style>
  <w:style w:type="character" w:styleId="ab">
    <w:name w:val="page number"/>
    <w:basedOn w:val="a0"/>
  </w:style>
  <w:style w:type="character" w:styleId="ac">
    <w:name w:val="Hyperlink"/>
    <w:rPr>
      <w:color w:val="0000FF"/>
      <w:u w:val="single"/>
    </w:rPr>
  </w:style>
  <w:style w:type="paragraph" w:styleId="30">
    <w:name w:val="toc 3"/>
    <w:basedOn w:val="a"/>
    <w:next w:val="a"/>
    <w:pPr>
      <w:ind w:leftChars="400" w:left="840"/>
    </w:pPr>
  </w:style>
  <w:style w:type="paragraph" w:styleId="31">
    <w:name w:val="Body Text Indent 3"/>
    <w:basedOn w:val="a"/>
    <w:pPr>
      <w:autoSpaceDE w:val="0"/>
      <w:autoSpaceDN w:val="0"/>
      <w:adjustRightInd w:val="0"/>
      <w:spacing w:line="360" w:lineRule="auto"/>
      <w:ind w:left="420" w:firstLine="435"/>
    </w:pPr>
    <w:rPr>
      <w:color w:val="0000FF"/>
    </w:rPr>
  </w:style>
  <w:style w:type="paragraph" w:customStyle="1" w:styleId="CharChar">
    <w:name w:val="Char Char"/>
    <w:basedOn w:val="a"/>
  </w:style>
  <w:style w:type="paragraph" w:customStyle="1" w:styleId="Default">
    <w:name w:val="Default"/>
    <w:pPr>
      <w:widowControl w:val="0"/>
      <w:autoSpaceDE w:val="0"/>
      <w:autoSpaceDN w:val="0"/>
      <w:adjustRightInd w:val="0"/>
    </w:pPr>
    <w:rPr>
      <w:rFonts w:ascii="宋体"/>
      <w:color w:val="000000"/>
      <w:sz w:val="24"/>
    </w:rPr>
  </w:style>
  <w:style w:type="paragraph" w:customStyle="1" w:styleId="unnamed1">
    <w:name w:val="unnamed1"/>
    <w:basedOn w:val="a"/>
    <w:rsid w:val="004D087E"/>
    <w:pPr>
      <w:spacing w:before="60" w:after="60"/>
      <w:ind w:left="15" w:right="15"/>
    </w:pPr>
    <w:rPr>
      <w:rFonts w:ascii="宋体" w:hAnsi="宋体" w:hint="eastAsia"/>
      <w:color w:val="000000"/>
      <w:sz w:val="18"/>
      <w:szCs w:val="18"/>
    </w:rPr>
  </w:style>
  <w:style w:type="paragraph" w:customStyle="1" w:styleId="Listbullet">
    <w:name w:val="List_bullet"/>
    <w:basedOn w:val="a"/>
    <w:rsid w:val="004D087E"/>
    <w:pPr>
      <w:widowControl/>
      <w:numPr>
        <w:numId w:val="1"/>
      </w:numPr>
      <w:tabs>
        <w:tab w:val="left" w:pos="360"/>
      </w:tabs>
      <w:jc w:val="left"/>
    </w:pPr>
    <w:rPr>
      <w:kern w:val="0"/>
      <w:sz w:val="24"/>
    </w:rPr>
  </w:style>
  <w:style w:type="paragraph" w:customStyle="1" w:styleId="msonormal1">
    <w:name w:val="msonormal1"/>
    <w:pPr>
      <w:widowControl w:val="0"/>
      <w:jc w:val="both"/>
    </w:pPr>
    <w:rPr>
      <w:kern w:val="2"/>
      <w:sz w:val="21"/>
    </w:rPr>
  </w:style>
  <w:style w:type="paragraph" w:customStyle="1" w:styleId="ad">
    <w:name w:val="正文正文"/>
    <w:basedOn w:val="a"/>
    <w:rsid w:val="004D087E"/>
    <w:pPr>
      <w:spacing w:afterLines="25" w:after="78" w:line="360" w:lineRule="auto"/>
      <w:ind w:firstLineChars="200" w:firstLine="200"/>
    </w:pPr>
    <w:rPr>
      <w:sz w:val="24"/>
    </w:rPr>
  </w:style>
  <w:style w:type="paragraph" w:styleId="ae">
    <w:name w:val="annotation subject"/>
    <w:basedOn w:val="af"/>
    <w:next w:val="af"/>
    <w:rPr>
      <w:b/>
    </w:rPr>
  </w:style>
  <w:style w:type="paragraph" w:styleId="af">
    <w:name w:val="annotation text"/>
    <w:basedOn w:val="a"/>
    <w:link w:val="af0"/>
    <w:qFormat/>
    <w:rsid w:val="004D087E"/>
    <w:pPr>
      <w:jc w:val="left"/>
    </w:pPr>
  </w:style>
  <w:style w:type="paragraph" w:styleId="af1">
    <w:name w:val="Document Map"/>
    <w:basedOn w:val="a"/>
    <w:pPr>
      <w:shd w:val="clear" w:color="auto" w:fill="000080"/>
    </w:pPr>
  </w:style>
  <w:style w:type="paragraph" w:customStyle="1" w:styleId="Char">
    <w:name w:val="Char"/>
    <w:basedOn w:val="a"/>
  </w:style>
  <w:style w:type="paragraph" w:styleId="a8">
    <w:name w:val="Title"/>
    <w:basedOn w:val="a"/>
    <w:next w:val="a"/>
    <w:link w:val="a7"/>
    <w:qFormat/>
    <w:rsid w:val="004D087E"/>
    <w:pPr>
      <w:spacing w:before="240" w:after="60"/>
      <w:jc w:val="center"/>
      <w:outlineLvl w:val="0"/>
    </w:pPr>
    <w:rPr>
      <w:rFonts w:ascii="Cambria" w:hAnsi="Cambria"/>
      <w:b/>
      <w:sz w:val="32"/>
      <w:lang w:val="x-none" w:eastAsia="x-none"/>
    </w:rPr>
  </w:style>
  <w:style w:type="paragraph" w:styleId="a4">
    <w:name w:val="Body Text"/>
    <w:basedOn w:val="a"/>
    <w:link w:val="a3"/>
    <w:rsid w:val="004D087E"/>
    <w:pPr>
      <w:autoSpaceDE w:val="0"/>
      <w:autoSpaceDN w:val="0"/>
      <w:adjustRightInd w:val="0"/>
      <w:spacing w:line="360" w:lineRule="auto"/>
      <w:jc w:val="left"/>
    </w:pPr>
    <w:rPr>
      <w:rFonts w:ascii="宋体"/>
      <w:kern w:val="0"/>
      <w:sz w:val="20"/>
      <w:lang w:val="x-none" w:eastAsia="x-none"/>
    </w:rPr>
  </w:style>
  <w:style w:type="paragraph" w:styleId="af2">
    <w:name w:val="Normal Indent"/>
    <w:basedOn w:val="a"/>
    <w:pPr>
      <w:ind w:firstLineChars="200" w:firstLine="420"/>
    </w:pPr>
  </w:style>
  <w:style w:type="paragraph" w:styleId="aa">
    <w:name w:val="header"/>
    <w:basedOn w:val="a"/>
    <w:link w:val="a9"/>
    <w:uiPriority w:val="99"/>
    <w:rsid w:val="004D087E"/>
    <w:pPr>
      <w:pBdr>
        <w:bottom w:val="single" w:sz="6" w:space="1" w:color="auto"/>
      </w:pBdr>
      <w:tabs>
        <w:tab w:val="center" w:pos="4153"/>
        <w:tab w:val="right" w:pos="8306"/>
      </w:tabs>
      <w:snapToGrid w:val="0"/>
      <w:jc w:val="center"/>
    </w:pPr>
    <w:rPr>
      <w:sz w:val="18"/>
    </w:rPr>
  </w:style>
  <w:style w:type="paragraph" w:customStyle="1" w:styleId="Char0">
    <w:name w:val="Char_0"/>
    <w:basedOn w:val="a"/>
  </w:style>
  <w:style w:type="paragraph" w:customStyle="1" w:styleId="CharCharChar">
    <w:name w:val="Char Char Char"/>
    <w:basedOn w:val="a"/>
  </w:style>
  <w:style w:type="paragraph" w:styleId="af3">
    <w:name w:val="Balloon Text"/>
    <w:basedOn w:val="a"/>
    <w:rPr>
      <w:sz w:val="18"/>
    </w:rPr>
  </w:style>
  <w:style w:type="paragraph" w:styleId="af4">
    <w:name w:val="footnote text"/>
    <w:basedOn w:val="a"/>
    <w:pPr>
      <w:snapToGrid w:val="0"/>
      <w:jc w:val="left"/>
    </w:pPr>
    <w:rPr>
      <w:sz w:val="18"/>
    </w:rPr>
  </w:style>
  <w:style w:type="paragraph" w:styleId="11">
    <w:name w:val="toc 1"/>
    <w:basedOn w:val="a"/>
    <w:next w:val="a"/>
    <w:pPr>
      <w:tabs>
        <w:tab w:val="right" w:leader="dot" w:pos="8296"/>
      </w:tabs>
    </w:pPr>
    <w:rPr>
      <w:sz w:val="22"/>
    </w:rPr>
  </w:style>
  <w:style w:type="paragraph" w:styleId="af5">
    <w:name w:val="footer"/>
    <w:basedOn w:val="a"/>
    <w:link w:val="af6"/>
    <w:uiPriority w:val="99"/>
    <w:qFormat/>
    <w:pPr>
      <w:tabs>
        <w:tab w:val="center" w:pos="4153"/>
        <w:tab w:val="right" w:pos="8306"/>
      </w:tabs>
      <w:snapToGrid w:val="0"/>
      <w:jc w:val="left"/>
    </w:pPr>
    <w:rPr>
      <w:sz w:val="18"/>
    </w:rPr>
  </w:style>
  <w:style w:type="paragraph" w:styleId="af7">
    <w:name w:val="Plain Text"/>
    <w:basedOn w:val="a"/>
    <w:pPr>
      <w:adjustRightInd w:val="0"/>
      <w:spacing w:line="312" w:lineRule="atLeast"/>
      <w:textAlignment w:val="baseline"/>
    </w:pPr>
    <w:rPr>
      <w:rFonts w:ascii="宋体" w:hAnsi="Courier New"/>
      <w:kern w:val="0"/>
    </w:rPr>
  </w:style>
  <w:style w:type="paragraph" w:styleId="20">
    <w:name w:val="Body Text Indent 2"/>
    <w:basedOn w:val="a"/>
    <w:pPr>
      <w:spacing w:line="360" w:lineRule="auto"/>
      <w:ind w:firstLine="425"/>
    </w:pPr>
    <w:rPr>
      <w:rFonts w:ascii="仿宋_GB2312" w:eastAsia="仿宋_GB2312"/>
      <w:sz w:val="28"/>
    </w:rPr>
  </w:style>
  <w:style w:type="paragraph" w:customStyle="1" w:styleId="InfoBlue">
    <w:name w:val="InfoBlue"/>
    <w:basedOn w:val="a"/>
    <w:next w:val="a4"/>
    <w:rsid w:val="004D087E"/>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pPr>
      <w:tabs>
        <w:tab w:val="left" w:pos="360"/>
      </w:tabs>
    </w:pPr>
  </w:style>
  <w:style w:type="paragraph" w:customStyle="1" w:styleId="CharChar1">
    <w:name w:val="Char Char1"/>
    <w:basedOn w:val="a"/>
  </w:style>
  <w:style w:type="paragraph" w:customStyle="1" w:styleId="af8">
    <w:name w:val="正文所"/>
    <w:basedOn w:val="a"/>
    <w:pPr>
      <w:spacing w:line="360" w:lineRule="auto"/>
      <w:ind w:firstLineChars="200" w:firstLine="420"/>
    </w:pPr>
    <w:rPr>
      <w:rFonts w:ascii="宋体"/>
    </w:rPr>
  </w:style>
  <w:style w:type="paragraph" w:styleId="af9">
    <w:name w:val="Revision"/>
    <w:hidden/>
    <w:uiPriority w:val="99"/>
    <w:semiHidden/>
    <w:rsid w:val="00315C67"/>
    <w:rPr>
      <w:kern w:val="2"/>
      <w:sz w:val="21"/>
    </w:rPr>
  </w:style>
  <w:style w:type="character" w:customStyle="1" w:styleId="10">
    <w:name w:val="标题 1 字符"/>
    <w:link w:val="1"/>
    <w:rsid w:val="001B1027"/>
    <w:rPr>
      <w:rFonts w:ascii="宋体"/>
      <w:b/>
      <w:color w:val="000000"/>
      <w:sz w:val="24"/>
    </w:rPr>
  </w:style>
  <w:style w:type="character" w:customStyle="1" w:styleId="af0">
    <w:name w:val="批注文字 字符"/>
    <w:link w:val="af"/>
    <w:rsid w:val="00D72128"/>
    <w:rPr>
      <w:kern w:val="2"/>
      <w:sz w:val="21"/>
    </w:rPr>
  </w:style>
  <w:style w:type="paragraph" w:customStyle="1" w:styleId="CharChar0">
    <w:name w:val="Char Char_0"/>
    <w:basedOn w:val="a"/>
    <w:rsid w:val="00184368"/>
  </w:style>
  <w:style w:type="paragraph" w:customStyle="1" w:styleId="CharChar10">
    <w:name w:val="Char Char_1"/>
    <w:basedOn w:val="a"/>
    <w:rsid w:val="0045064E"/>
  </w:style>
  <w:style w:type="paragraph" w:customStyle="1" w:styleId="Char1">
    <w:name w:val="Char_1"/>
    <w:basedOn w:val="a"/>
    <w:rsid w:val="0045064E"/>
  </w:style>
  <w:style w:type="paragraph" w:customStyle="1" w:styleId="CharCharChar0">
    <w:name w:val="Char Char Char_0"/>
    <w:basedOn w:val="a"/>
    <w:rsid w:val="0045064E"/>
  </w:style>
  <w:style w:type="paragraph" w:customStyle="1" w:styleId="CharCharCharChar0">
    <w:name w:val="Char Char Char Char_0"/>
    <w:basedOn w:val="a"/>
    <w:rsid w:val="0045064E"/>
    <w:pPr>
      <w:tabs>
        <w:tab w:val="left" w:pos="360"/>
      </w:tabs>
    </w:pPr>
  </w:style>
  <w:style w:type="paragraph" w:customStyle="1" w:styleId="CharChar100">
    <w:name w:val="Char Char1_0"/>
    <w:basedOn w:val="a"/>
    <w:rsid w:val="0045064E"/>
  </w:style>
  <w:style w:type="paragraph" w:customStyle="1" w:styleId="CharChar2">
    <w:name w:val="Char Char_2"/>
    <w:basedOn w:val="a"/>
    <w:rsid w:val="00365EDD"/>
  </w:style>
  <w:style w:type="paragraph" w:styleId="afa">
    <w:name w:val="List Paragraph"/>
    <w:basedOn w:val="a"/>
    <w:uiPriority w:val="34"/>
    <w:qFormat/>
    <w:rsid w:val="006C5EAA"/>
    <w:pPr>
      <w:ind w:firstLineChars="200" w:firstLine="420"/>
    </w:pPr>
  </w:style>
  <w:style w:type="paragraph" w:customStyle="1" w:styleId="CharChar11">
    <w:name w:val="Char Char1_1"/>
    <w:basedOn w:val="a"/>
    <w:rsid w:val="006701B3"/>
  </w:style>
  <w:style w:type="paragraph" w:customStyle="1" w:styleId="Char2">
    <w:name w:val="Char_2"/>
    <w:basedOn w:val="a"/>
    <w:rsid w:val="006701B3"/>
  </w:style>
  <w:style w:type="paragraph" w:customStyle="1" w:styleId="CharChar12">
    <w:name w:val="Char Char1_2"/>
    <w:basedOn w:val="a"/>
    <w:rsid w:val="00923276"/>
  </w:style>
  <w:style w:type="paragraph" w:customStyle="1" w:styleId="Char3">
    <w:name w:val="Char_3"/>
    <w:basedOn w:val="a"/>
    <w:rsid w:val="00923276"/>
  </w:style>
  <w:style w:type="paragraph" w:styleId="afb">
    <w:name w:val="Normal (Web)"/>
    <w:basedOn w:val="a"/>
    <w:uiPriority w:val="99"/>
    <w:semiHidden/>
    <w:unhideWhenUsed/>
    <w:rsid w:val="006D0092"/>
    <w:pPr>
      <w:widowControl/>
      <w:spacing w:before="100" w:beforeAutospacing="1" w:after="100" w:afterAutospacing="1"/>
      <w:jc w:val="left"/>
    </w:pPr>
    <w:rPr>
      <w:rFonts w:ascii="宋体" w:hAnsi="宋体" w:cs="宋体"/>
      <w:kern w:val="0"/>
      <w:sz w:val="24"/>
      <w:szCs w:val="24"/>
    </w:rPr>
  </w:style>
  <w:style w:type="paragraph" w:customStyle="1" w:styleId="CharChar13">
    <w:name w:val="Char Char1_3"/>
    <w:basedOn w:val="a"/>
    <w:rsid w:val="004D087E"/>
  </w:style>
  <w:style w:type="paragraph" w:customStyle="1" w:styleId="Char4">
    <w:name w:val="Char_4"/>
    <w:basedOn w:val="a"/>
    <w:rsid w:val="004D087E"/>
  </w:style>
  <w:style w:type="paragraph" w:customStyle="1" w:styleId="CharChar3">
    <w:name w:val="Char Char_3"/>
    <w:basedOn w:val="a"/>
    <w:rsid w:val="00503385"/>
  </w:style>
  <w:style w:type="character" w:customStyle="1" w:styleId="af6">
    <w:name w:val="页脚 字符"/>
    <w:basedOn w:val="a0"/>
    <w:link w:val="af5"/>
    <w:uiPriority w:val="99"/>
    <w:qFormat/>
    <w:rsid w:val="00E5297C"/>
    <w:rPr>
      <w:kern w:val="2"/>
      <w:sz w:val="18"/>
    </w:rPr>
  </w:style>
  <w:style w:type="paragraph" w:customStyle="1" w:styleId="div">
    <w:name w:val="div"/>
    <w:basedOn w:val="a"/>
    <w:qFormat/>
  </w:style>
  <w:style w:type="character" w:customStyle="1" w:styleId="custom">
    <w:name w:val="custom"/>
    <w:basedOn w:val="a0"/>
    <w:qFormat/>
  </w:style>
  <w:style w:type="character" w:customStyle="1" w:styleId="serial-tag">
    <w:name w:val="serial-tag"/>
    <w:basedOn w:val="a0"/>
  </w:style>
  <w:style w:type="character" w:customStyle="1" w:styleId="divCharacter">
    <w:name w:val="div Character"/>
    <w:basedOn w:val="a0"/>
  </w:style>
  <w:style w:type="paragraph" w:styleId="21">
    <w:name w:val="toc 2"/>
    <w:basedOn w:val="a"/>
    <w:next w:val="a"/>
    <w:autoRedefine/>
    <w:rsid w:val="00805BCE"/>
    <w:pPr>
      <w:ind w:left="24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619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FB6E9-CF97-4E5B-AFE6-41721E8BF7EE}">
  <ds:schemaRefs>
    <ds:schemaRef ds:uri="http://schemas.openxmlformats.org/officeDocument/2006/bibliography"/>
  </ds:schemaRefs>
</ds:datastoreItem>
</file>

<file path=customXml/itemProps2.xml><?xml version="1.0" encoding="utf-8"?>
<ds:datastoreItem xmlns:ds="http://schemas.openxmlformats.org/officeDocument/2006/customXml" ds:itemID="{423ED674-2AA5-49D6-B844-D6C489E1D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121</Pages>
  <Words>12329</Words>
  <Characters>70277</Characters>
  <Application>Microsoft Office Word</Application>
  <DocSecurity>0</DocSecurity>
  <Lines>585</Lines>
  <Paragraphs>164</Paragraphs>
  <ScaleCrop>false</ScaleCrop>
  <Company>神州网信技术有限公司</Company>
  <LinksUpToDate>false</LinksUpToDate>
  <CharactersWithSpaces>82442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yfy</dc:creator>
  <cp:lastModifiedBy>李金洋</cp:lastModifiedBy>
  <cp:revision>4</cp:revision>
  <cp:lastPrinted>2025-08-13T05:33:00Z</cp:lastPrinted>
  <dcterms:created xsi:type="dcterms:W3CDTF">2026-05-18T03:16:00Z</dcterms:created>
  <dcterms:modified xsi:type="dcterms:W3CDTF">2026-05-18T03:17:00Z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
  </property>
</Properties>
</file>